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694341" w14:textId="77777777" w:rsidR="00EE7384" w:rsidRPr="00FB7753" w:rsidRDefault="00EE7384" w:rsidP="00EE7384">
      <w:pPr>
        <w:jc w:val="center"/>
        <w:rPr>
          <w:rFonts w:ascii="Garamond" w:hAnsi="Garamond"/>
          <w:b/>
          <w:lang w:val="es-MX"/>
        </w:rPr>
      </w:pPr>
      <w:r w:rsidRPr="00FB7753">
        <w:rPr>
          <w:rFonts w:ascii="Garamond" w:hAnsi="Garamond"/>
          <w:b/>
          <w:lang w:val="es-MX"/>
        </w:rPr>
        <w:t xml:space="preserve">Luchando contra la invisibilidad: </w:t>
      </w:r>
      <w:r w:rsidR="00854B9A" w:rsidRPr="00FB7753">
        <w:rPr>
          <w:rFonts w:ascii="Garamond" w:hAnsi="Garamond"/>
          <w:b/>
          <w:lang w:val="es-MX"/>
        </w:rPr>
        <w:t>C</w:t>
      </w:r>
      <w:r w:rsidRPr="00FB7753">
        <w:rPr>
          <w:rFonts w:ascii="Garamond" w:hAnsi="Garamond"/>
          <w:b/>
          <w:lang w:val="es-MX"/>
        </w:rPr>
        <w:t>iudadanos indígenas y educación histórica en El Salvador y Guatemala</w:t>
      </w:r>
      <w:r w:rsidR="00C94423" w:rsidRPr="00FB7753">
        <w:rPr>
          <w:rFonts w:ascii="Garamond" w:hAnsi="Garamond"/>
          <w:b/>
          <w:lang w:val="es-MX"/>
        </w:rPr>
        <w:t>.</w:t>
      </w:r>
    </w:p>
    <w:p w14:paraId="0446156B" w14:textId="77777777" w:rsidR="00EE7384" w:rsidRPr="00FB7753" w:rsidRDefault="00EE7384" w:rsidP="00EE7384">
      <w:pPr>
        <w:jc w:val="center"/>
        <w:rPr>
          <w:rFonts w:ascii="Garamond" w:hAnsi="Garamond"/>
          <w:b/>
          <w:lang w:val="es-MX"/>
        </w:rPr>
      </w:pPr>
    </w:p>
    <w:p w14:paraId="0FB066A4" w14:textId="77777777" w:rsidR="00EE7384" w:rsidRPr="00FB7753" w:rsidRDefault="00EE7384" w:rsidP="00EE7384">
      <w:pPr>
        <w:jc w:val="center"/>
        <w:rPr>
          <w:rFonts w:ascii="Garamond" w:hAnsi="Garamond"/>
          <w:b/>
          <w:lang w:val="es-MX"/>
        </w:rPr>
      </w:pPr>
      <w:r w:rsidRPr="00FB7753">
        <w:rPr>
          <w:rFonts w:ascii="Garamond" w:hAnsi="Garamond"/>
          <w:b/>
          <w:lang w:val="es-MX"/>
        </w:rPr>
        <w:t>Mneesha Gellman, Emerson College</w:t>
      </w:r>
    </w:p>
    <w:p w14:paraId="7D5E60F7" w14:textId="77777777" w:rsidR="00EE7384" w:rsidRPr="00FB7753" w:rsidRDefault="00EE7384" w:rsidP="00EE7384">
      <w:pPr>
        <w:jc w:val="center"/>
        <w:rPr>
          <w:rFonts w:ascii="Garamond" w:hAnsi="Garamond"/>
          <w:b/>
          <w:lang w:val="es-MX"/>
        </w:rPr>
      </w:pPr>
    </w:p>
    <w:p w14:paraId="28BAD732" w14:textId="0895F21B" w:rsidR="00EE7384" w:rsidRPr="00FB7753" w:rsidRDefault="00EE7384" w:rsidP="00EE7384">
      <w:pPr>
        <w:jc w:val="center"/>
        <w:rPr>
          <w:rFonts w:ascii="Garamond" w:hAnsi="Garamond"/>
          <w:b/>
          <w:lang w:val="es-MX"/>
        </w:rPr>
      </w:pPr>
      <w:r w:rsidRPr="00FB7753">
        <w:rPr>
          <w:rFonts w:ascii="Garamond" w:hAnsi="Garamond"/>
          <w:b/>
          <w:lang w:val="es-MX"/>
        </w:rPr>
        <w:t xml:space="preserve">Michelle </w:t>
      </w:r>
      <w:r w:rsidR="00FB7753">
        <w:rPr>
          <w:rFonts w:ascii="Garamond" w:hAnsi="Garamond"/>
          <w:b/>
          <w:lang w:val="es-MX"/>
        </w:rPr>
        <w:t xml:space="preserve">J. </w:t>
      </w:r>
      <w:r w:rsidRPr="00FB7753">
        <w:rPr>
          <w:rFonts w:ascii="Garamond" w:hAnsi="Garamond"/>
          <w:b/>
          <w:lang w:val="es-MX"/>
        </w:rPr>
        <w:t>Bellino, Universidad de Michigan</w:t>
      </w:r>
    </w:p>
    <w:p w14:paraId="22DE6F8F" w14:textId="77777777" w:rsidR="00EE7384" w:rsidRPr="00FB7753" w:rsidRDefault="00EE7384" w:rsidP="00EE7384">
      <w:pPr>
        <w:rPr>
          <w:rFonts w:ascii="Garamond" w:hAnsi="Garamond"/>
          <w:lang w:val="es-MX"/>
        </w:rPr>
      </w:pPr>
    </w:p>
    <w:p w14:paraId="4A6A84FC" w14:textId="77777777" w:rsidR="00EE7384" w:rsidRPr="00FB7753" w:rsidRDefault="00FA22D0" w:rsidP="00EE7384">
      <w:pPr>
        <w:rPr>
          <w:rFonts w:ascii="Garamond" w:hAnsi="Garamond"/>
          <w:b/>
          <w:i/>
          <w:lang w:val="es-MX"/>
        </w:rPr>
      </w:pPr>
      <w:r w:rsidRPr="00FB7753">
        <w:rPr>
          <w:rFonts w:ascii="Garamond" w:hAnsi="Garamond"/>
          <w:b/>
          <w:i/>
          <w:lang w:val="es-MX"/>
        </w:rPr>
        <w:t>Abstracto</w:t>
      </w:r>
    </w:p>
    <w:p w14:paraId="737C8EB0" w14:textId="77777777" w:rsidR="00EE7384" w:rsidRPr="00FB7753" w:rsidRDefault="00EE7384" w:rsidP="00EE7384">
      <w:pPr>
        <w:rPr>
          <w:rFonts w:ascii="Garamond" w:hAnsi="Garamond"/>
          <w:i/>
          <w:lang w:val="es-MX"/>
        </w:rPr>
      </w:pPr>
      <w:r w:rsidRPr="00FB7753">
        <w:rPr>
          <w:rFonts w:ascii="Garamond" w:hAnsi="Garamond"/>
          <w:i/>
          <w:lang w:val="es-MX"/>
        </w:rPr>
        <w:t>El Salvador y Guatemala atravesaron guerras civiles que afectaron gravemente a los ciudadanos más marginados de ambos países, incluidos los pueblos indígenas. Hoy, la enseñanza y el aprendizaje del pasado violento siguen siendo un desafío en cada país, con implicaciones para los ciudadanos indígenas y no indígenas por igual. Este artículo examina el impacto de la democratización en El Salvador y Guatemala en el ámbito educativo, documentando tendencias narrativas sobre el tema de las guerras civiles y la indigeneidad en entornos educativos formales e informales. Sostenemos que los distintos procesos de democratización y justicia transicional han creado oportunidades y desafíos para enseñar y aprender sobre los roles y experiencias de los pueblos indígenas en las guerras civiles en cada país. Metodológicamente, el artículo se basa en análisis de la política educativa y el currículo formal en ambos contextos, complementados con datos etnográficos. Situamos el estudio dentro de la literatura sobre democratización, justicia transicional y educación para documentar cómo la enseñanza y el aprendizaje del pasado violento es un acto altamente politizado con implicaciones a largo plazo para la calidad democrática en cada país.</w:t>
      </w:r>
    </w:p>
    <w:p w14:paraId="0C7AD94C" w14:textId="77777777" w:rsidR="00EE7384" w:rsidRPr="00FB7753" w:rsidRDefault="00EE7384" w:rsidP="00EE7384">
      <w:pPr>
        <w:rPr>
          <w:rFonts w:ascii="Garamond" w:hAnsi="Garamond"/>
          <w:lang w:val="es-MX"/>
        </w:rPr>
      </w:pPr>
    </w:p>
    <w:p w14:paraId="5FEEE6B0" w14:textId="77777777" w:rsidR="00EE7384" w:rsidRPr="00FB7753" w:rsidRDefault="00EE7384" w:rsidP="00EE7384">
      <w:pPr>
        <w:rPr>
          <w:rFonts w:ascii="Garamond" w:hAnsi="Garamond"/>
          <w:lang w:val="es-MX"/>
        </w:rPr>
      </w:pPr>
      <w:r w:rsidRPr="00FB7753">
        <w:rPr>
          <w:rFonts w:ascii="Garamond" w:hAnsi="Garamond"/>
          <w:b/>
          <w:bCs/>
          <w:lang w:val="es-MX"/>
        </w:rPr>
        <w:t xml:space="preserve">Palabras </w:t>
      </w:r>
      <w:r w:rsidR="00FA22D0" w:rsidRPr="00FB7753">
        <w:rPr>
          <w:rFonts w:ascii="Garamond" w:hAnsi="Garamond"/>
          <w:b/>
          <w:bCs/>
          <w:lang w:val="es-MX"/>
        </w:rPr>
        <w:t>claves</w:t>
      </w:r>
      <w:r w:rsidRPr="00FB7753">
        <w:rPr>
          <w:rFonts w:ascii="Garamond" w:hAnsi="Garamond"/>
          <w:b/>
          <w:bCs/>
          <w:lang w:val="es-MX"/>
        </w:rPr>
        <w:t>:</w:t>
      </w:r>
      <w:r w:rsidRPr="00FB7753">
        <w:rPr>
          <w:rFonts w:ascii="Garamond" w:hAnsi="Garamond"/>
          <w:lang w:val="es-MX"/>
        </w:rPr>
        <w:t xml:space="preserve"> Educación</w:t>
      </w:r>
      <w:r w:rsidR="00C94423" w:rsidRPr="00FB7753">
        <w:rPr>
          <w:rFonts w:ascii="Garamond" w:hAnsi="Garamond"/>
          <w:lang w:val="es-MX"/>
        </w:rPr>
        <w:t>,</w:t>
      </w:r>
      <w:r w:rsidRPr="00FB7753">
        <w:rPr>
          <w:rFonts w:ascii="Garamond" w:hAnsi="Garamond"/>
          <w:lang w:val="es-MX"/>
        </w:rPr>
        <w:t xml:space="preserve"> indígena</w:t>
      </w:r>
      <w:r w:rsidR="00C94423" w:rsidRPr="00FB7753">
        <w:rPr>
          <w:rFonts w:ascii="Garamond" w:hAnsi="Garamond"/>
          <w:lang w:val="es-MX"/>
        </w:rPr>
        <w:t>,</w:t>
      </w:r>
      <w:r w:rsidRPr="00FB7753">
        <w:rPr>
          <w:rFonts w:ascii="Garamond" w:hAnsi="Garamond"/>
          <w:lang w:val="es-MX"/>
        </w:rPr>
        <w:t>El Salvador</w:t>
      </w:r>
      <w:r w:rsidR="00C94423" w:rsidRPr="00FB7753">
        <w:rPr>
          <w:rFonts w:ascii="Garamond" w:hAnsi="Garamond"/>
          <w:lang w:val="es-MX"/>
        </w:rPr>
        <w:t>,</w:t>
      </w:r>
      <w:r w:rsidRPr="00FB7753">
        <w:rPr>
          <w:rFonts w:ascii="Garamond" w:hAnsi="Garamond"/>
          <w:lang w:val="es-MX"/>
        </w:rPr>
        <w:t xml:space="preserve"> Guatemala</w:t>
      </w:r>
      <w:r w:rsidR="00C94423" w:rsidRPr="00FB7753">
        <w:rPr>
          <w:rFonts w:ascii="Garamond" w:hAnsi="Garamond"/>
          <w:lang w:val="es-MX"/>
        </w:rPr>
        <w:t>,</w:t>
      </w:r>
      <w:r w:rsidRPr="00FB7753">
        <w:rPr>
          <w:rFonts w:ascii="Garamond" w:hAnsi="Garamond"/>
          <w:lang w:val="es-MX"/>
        </w:rPr>
        <w:t xml:space="preserve"> democratización</w:t>
      </w:r>
      <w:r w:rsidR="00C94423" w:rsidRPr="00FB7753">
        <w:rPr>
          <w:rFonts w:ascii="Garamond" w:hAnsi="Garamond"/>
          <w:lang w:val="es-MX"/>
        </w:rPr>
        <w:t>,</w:t>
      </w:r>
      <w:r w:rsidRPr="00FB7753">
        <w:rPr>
          <w:rFonts w:ascii="Garamond" w:hAnsi="Garamond"/>
          <w:lang w:val="es-MX"/>
        </w:rPr>
        <w:t xml:space="preserve"> </w:t>
      </w:r>
      <w:r w:rsidR="00FB094F" w:rsidRPr="00FB7753">
        <w:rPr>
          <w:rFonts w:ascii="Garamond" w:hAnsi="Garamond"/>
          <w:lang w:val="es-MX"/>
        </w:rPr>
        <w:t>j</w:t>
      </w:r>
      <w:r w:rsidRPr="00FB7753">
        <w:rPr>
          <w:rFonts w:ascii="Garamond" w:hAnsi="Garamond"/>
          <w:lang w:val="es-MX"/>
        </w:rPr>
        <w:t>usticia transicional</w:t>
      </w:r>
      <w:r w:rsidR="00C94423" w:rsidRPr="00FB7753">
        <w:rPr>
          <w:rFonts w:ascii="Garamond" w:hAnsi="Garamond"/>
          <w:lang w:val="es-MX"/>
        </w:rPr>
        <w:t>.</w:t>
      </w:r>
    </w:p>
    <w:p w14:paraId="6B14E2F9" w14:textId="77777777" w:rsidR="00EE7384" w:rsidRPr="00FB7753" w:rsidRDefault="00EE7384" w:rsidP="00EE7384">
      <w:pPr>
        <w:rPr>
          <w:rFonts w:ascii="Garamond" w:hAnsi="Garamond"/>
          <w:lang w:val="es-MX"/>
        </w:rPr>
      </w:pPr>
    </w:p>
    <w:p w14:paraId="1B546006" w14:textId="77777777" w:rsidR="00EE7384" w:rsidRPr="00FB7753" w:rsidRDefault="00EE7384" w:rsidP="00EE7384">
      <w:pPr>
        <w:rPr>
          <w:rFonts w:ascii="Garamond" w:hAnsi="Garamond"/>
          <w:lang w:val="es-MX"/>
        </w:rPr>
      </w:pPr>
    </w:p>
    <w:p w14:paraId="0EF47982" w14:textId="77777777" w:rsidR="00EE7384" w:rsidRPr="00FB7753" w:rsidRDefault="00EE7384" w:rsidP="00EE7384">
      <w:pPr>
        <w:rPr>
          <w:rFonts w:ascii="Garamond" w:hAnsi="Garamond"/>
          <w:b/>
          <w:lang w:val="es-MX"/>
        </w:rPr>
      </w:pPr>
      <w:r w:rsidRPr="00FB7753">
        <w:rPr>
          <w:rFonts w:ascii="Garamond" w:hAnsi="Garamond"/>
          <w:b/>
          <w:lang w:val="es-MX"/>
        </w:rPr>
        <w:t>Introducción</w:t>
      </w:r>
    </w:p>
    <w:p w14:paraId="53E633F6" w14:textId="77777777" w:rsidR="00EE7384" w:rsidRPr="00FB7753" w:rsidRDefault="00EE7384" w:rsidP="00EE7384">
      <w:pPr>
        <w:rPr>
          <w:rFonts w:ascii="Garamond" w:hAnsi="Garamond"/>
          <w:lang w:val="es-MX"/>
        </w:rPr>
      </w:pPr>
    </w:p>
    <w:p w14:paraId="41644600" w14:textId="77777777" w:rsidR="003754B3" w:rsidRPr="00FB7753" w:rsidRDefault="00EE7384" w:rsidP="00EE7384">
      <w:pPr>
        <w:rPr>
          <w:rFonts w:ascii="Garamond" w:hAnsi="Garamond"/>
          <w:lang w:val="es-MX"/>
        </w:rPr>
      </w:pPr>
      <w:r w:rsidRPr="00FB7753">
        <w:rPr>
          <w:rFonts w:ascii="Garamond" w:hAnsi="Garamond"/>
          <w:lang w:val="es-MX"/>
        </w:rPr>
        <w:t>La enseñanza y el aprendizaje del pasado violento está muy politizado. Sin embargo, para que la educación sea creíble a los ojos del público, el plan de estudios debe percibirse como neutral y preciso, dando voz a los temas principales y eventos históricos con los que la gente se identifica. ¿Cómo puede ser posible tal resonancia temática en diversos estados que incluyen ciudadanos con memorias opuestas o altamente diferenciadas y racionalizaciones de acciones estatales pasadas? ¿Pueden los estados administrar con justicia la educación pública a ciudadanos pluriétnicos? Si tal misión no es posible, ¿debería el Estado apoyar a los ciudadanos para que asuman tal carga a nivel micro o comunitario? Este artículo explora estos temas en su relación con las experiencias vividas de ciudadanía de los pueblos indígenas en El Salvador y Guatemala, las cuales han sido moldeadas por procesos de democratización y justicia transicional. La marginación de la ciudadanía indígena continúa siendo elaborada por la forma en que se recuerda, institucionaliza y enseña el pasado violento a la próxima generación. Estos procesos se han desarrollado de manera muy diferente en El Salvador y Guatemala, donde los ciudadanos indígenas continúan atravesando una serie de desafíos al reclamar sus identidades nacionales en las esferas educativas.</w:t>
      </w:r>
    </w:p>
    <w:p w14:paraId="3EDE3B7A" w14:textId="77777777" w:rsidR="00143A6C" w:rsidRPr="00FB7753" w:rsidRDefault="00143A6C" w:rsidP="00143A6C">
      <w:pPr>
        <w:ind w:firstLine="720"/>
        <w:rPr>
          <w:rFonts w:ascii="Garamond" w:hAnsi="Garamond"/>
          <w:lang w:val="es-MX"/>
        </w:rPr>
      </w:pPr>
      <w:r w:rsidRPr="00FB7753">
        <w:rPr>
          <w:rFonts w:ascii="Garamond" w:hAnsi="Garamond"/>
          <w:lang w:val="es-MX"/>
        </w:rPr>
        <w:t xml:space="preserve">En El Salvador, la democracia procesal se ha arraigado desde 2009 en términos de competencia partidista y alteraciones de poder. Esta apertura liberal bajo dos presidencias del Frente Farabundo Martí de Liberación Nacional (FMLN) incluye la ratificación de una enmienda al artículo 63 Constitucional en 2014, reconociendo por primera vez a los indígenas salvadoreños con derechos necesitados de protección. También se ha desarrollado una serie de otras reformas modestas dentro de la programación cultural patrocinada por el estado a lo largo de la década de 2010, pero el proceso de democratización no ha facilitado automáticamente la inclusión indígena, y los pueblos </w:t>
      </w:r>
      <w:r w:rsidRPr="00FB7753">
        <w:rPr>
          <w:rFonts w:ascii="Garamond" w:hAnsi="Garamond"/>
          <w:lang w:val="es-MX"/>
        </w:rPr>
        <w:lastRenderedPageBreak/>
        <w:t xml:space="preserve">indígenas continúan siendo considerados antepasados </w:t>
      </w:r>
      <w:r w:rsidRPr="00FB7753">
        <w:rPr>
          <w:rFonts w:ascii="Times New Roman" w:hAnsi="Times New Roman" w:cs="Times New Roman"/>
          <w:lang w:val="es-MX"/>
        </w:rPr>
        <w:t>​​</w:t>
      </w:r>
      <w:r w:rsidRPr="00FB7753">
        <w:rPr>
          <w:rFonts w:ascii="Garamond" w:hAnsi="Garamond"/>
          <w:lang w:val="es-MX"/>
        </w:rPr>
        <w:t>de la población mayoritaria mestiza en lugar de conciudadanos contemporáneos.</w:t>
      </w:r>
    </w:p>
    <w:p w14:paraId="6E9C8A1D" w14:textId="77777777" w:rsidR="00143A6C" w:rsidRPr="00FB7753" w:rsidRDefault="00143A6C" w:rsidP="00143A6C">
      <w:pPr>
        <w:ind w:firstLine="720"/>
        <w:rPr>
          <w:rFonts w:ascii="Garamond" w:hAnsi="Garamond"/>
          <w:lang w:val="es-MX"/>
        </w:rPr>
      </w:pPr>
      <w:r w:rsidRPr="00FB7753">
        <w:rPr>
          <w:rFonts w:ascii="Garamond" w:hAnsi="Garamond"/>
          <w:lang w:val="es-MX"/>
        </w:rPr>
        <w:t xml:space="preserve">Estas tensiones son paralelas en Guatemala, donde persiste la violencia política, social y económica, al igual que la exclusión indígena de los beneficios de la membresía estatal. Incluso en épocas de relativa estabilidad, los indígenas guatemaltecos han experimentado una "ciudadanía de baja intensidad" (O'Donnell en Sieder 1999, 110), ya que sus identidades han permanecido más arraigadas en las comunidades locales que en el </w:t>
      </w:r>
      <w:r w:rsidR="00FB094F" w:rsidRPr="00FB7753">
        <w:rPr>
          <w:rFonts w:ascii="Garamond" w:hAnsi="Garamond"/>
          <w:lang w:val="es-MX"/>
        </w:rPr>
        <w:t>E</w:t>
      </w:r>
      <w:r w:rsidRPr="00FB7753">
        <w:rPr>
          <w:rFonts w:ascii="Garamond" w:hAnsi="Garamond"/>
          <w:lang w:val="es-MX"/>
        </w:rPr>
        <w:t>stado. El proceso de democratización de Guatemala incluyó la redacción de una nueva Constitución en 1985 que reconoció la composición multiétnica del país, pero esta y otras reformas dirigidas a una mayor inclusión de los pueblos indígenas se realizaron en un contexto de democracia débil con vínculos con el pasado autoritario. La frágil democracia de hoy (Isaacs 2010) contiene elementos de tácticas autoritarias represivas de su pasado, mostrando lo que algunos consideran una "restauración" del autoritarismo más que un proceso de democratización (Torres-Rivas 1999, 294).</w:t>
      </w:r>
    </w:p>
    <w:p w14:paraId="066B6FBA" w14:textId="77777777" w:rsidR="00143A6C" w:rsidRPr="00FB7753" w:rsidRDefault="00143A6C" w:rsidP="00143A6C">
      <w:pPr>
        <w:ind w:firstLine="720"/>
        <w:rPr>
          <w:rFonts w:ascii="Garamond" w:hAnsi="Garamond"/>
          <w:lang w:val="es-MX"/>
        </w:rPr>
      </w:pPr>
      <w:r w:rsidRPr="00FB7753">
        <w:rPr>
          <w:rFonts w:ascii="Garamond" w:hAnsi="Garamond"/>
          <w:lang w:val="es-MX"/>
        </w:rPr>
        <w:t xml:space="preserve">En este artículo abordamos las oportunidades para la enseñanza y el aprendizaje del pasado violento en El Salvador y </w:t>
      </w:r>
      <w:r w:rsidR="00956C6B" w:rsidRPr="00FB7753">
        <w:rPr>
          <w:rFonts w:ascii="Garamond" w:hAnsi="Garamond"/>
          <w:lang w:val="es-MX"/>
        </w:rPr>
        <w:t xml:space="preserve">en </w:t>
      </w:r>
      <w:r w:rsidRPr="00FB7753">
        <w:rPr>
          <w:rFonts w:ascii="Garamond" w:hAnsi="Garamond"/>
          <w:lang w:val="es-MX"/>
        </w:rPr>
        <w:t xml:space="preserve">Guatemala como un medio para analizar la relación entre la educación formal y la democratización, particularmente para los pueblos indígenas. Miramos al período posterior al conflicto para explicar las diferencias en los enfoques educativos que ha implementado cada estado. Tales opciones institucionales se arraigaron en mecanismos de justicia transicional y democratización que han creado una dependencia de caminos, que se refiere a la trayectoria de patrones históricos que perpetúan un grado de determinismo institucional (Mahoney 2000, 507) y continúan influyendo en la educación hoy. Nos centramos en las representaciones históricas de los pueblos indígenas, porque esta población fue una de las más vulnerables durante y después de las guerras en ambos países. La representación estatal de los indígenas salvadoreños y guatemaltecos </w:t>
      </w:r>
      <w:r w:rsidR="00956C6B" w:rsidRPr="00FB7753">
        <w:rPr>
          <w:rFonts w:ascii="Garamond" w:hAnsi="Garamond"/>
          <w:lang w:val="es-MX"/>
        </w:rPr>
        <w:t>sirve,</w:t>
      </w:r>
      <w:r w:rsidRPr="00FB7753">
        <w:rPr>
          <w:rFonts w:ascii="Garamond" w:hAnsi="Garamond"/>
          <w:lang w:val="es-MX"/>
        </w:rPr>
        <w:t xml:space="preserve"> así como un referente de la calidad de la democratización en el contexto de la posguerra.</w:t>
      </w:r>
    </w:p>
    <w:p w14:paraId="62A9E957" w14:textId="77777777" w:rsidR="00143A6C" w:rsidRPr="00FB7753" w:rsidRDefault="00143A6C" w:rsidP="00143A6C">
      <w:pPr>
        <w:ind w:firstLine="720"/>
        <w:rPr>
          <w:rFonts w:ascii="Garamond" w:hAnsi="Garamond"/>
          <w:lang w:val="es-MX"/>
        </w:rPr>
      </w:pPr>
      <w:r w:rsidRPr="00FB7753">
        <w:rPr>
          <w:rFonts w:ascii="Garamond" w:hAnsi="Garamond"/>
          <w:lang w:val="es-MX"/>
        </w:rPr>
        <w:t xml:space="preserve">Tanto El Salvador como Guatemala han tomado su lugar en la historia de América Latina por los violentos conflictos civiles que llevaron a la muerte y el desplazamiento generalizados de las poblaciones marginadas de ambos países, especialmente los campesinos y los pueblos indígenas. Aunque comparte pasados </w:t>
      </w:r>
      <w:r w:rsidRPr="00FB7753">
        <w:rPr>
          <w:rFonts w:ascii="Times New Roman" w:hAnsi="Times New Roman" w:cs="Times New Roman"/>
          <w:lang w:val="es-MX"/>
        </w:rPr>
        <w:t>​​</w:t>
      </w:r>
      <w:r w:rsidRPr="00FB7753">
        <w:rPr>
          <w:rFonts w:ascii="Garamond" w:hAnsi="Garamond"/>
          <w:lang w:val="es-MX"/>
        </w:rPr>
        <w:t>violentos comunes, este artículo se basa en la premisa de que El Salvador y Guatemala están negociando arreglos distintos sobre la visibilidad e invisibilidad del conflicto y la indigeneidad en cada país. Si bien la guerra civil es una parte intrincada del discurso educativo y público más amplio en El Salvador (Gellman 2015, 158), las cuentas públicas con el pasado violento de Guatemala siguen polarizadas (Weld 2012) y a menudo se silencian en los espacios educativos (Bellino 2014; 2016; Rubin 2016).</w:t>
      </w:r>
    </w:p>
    <w:p w14:paraId="2B69A658" w14:textId="77777777" w:rsidR="00143A6C" w:rsidRPr="00FB7753" w:rsidRDefault="00143A6C" w:rsidP="00143A6C">
      <w:pPr>
        <w:ind w:firstLine="720"/>
        <w:rPr>
          <w:rFonts w:ascii="Garamond" w:hAnsi="Garamond"/>
          <w:lang w:val="es-MX"/>
        </w:rPr>
      </w:pPr>
      <w:r w:rsidRPr="00FB7753">
        <w:rPr>
          <w:rFonts w:ascii="Garamond" w:hAnsi="Garamond"/>
          <w:lang w:val="es-MX"/>
        </w:rPr>
        <w:t>Al mismo tiempo, El Salvador ha silenciado durante mucho tiempo la presencia de su propia población indígena hasta el punto de que muchos salvadoreños, así como los académicos que los estudian, han perdido de vista que tal población existe y solo recientemente está siendo documentada (DeLugan 2012, 5; Dubón 2011; Peterson 2006, 164-165; Tilley 2005, 7-8). Mientras tanto, en Guatemala existe un reconocimiento legal generalizado de que la identidad nacional es pluricultural, multiétnica y multilingüe (López 2014, 20; Banco Mundial 2015, 18-19, 26). A pesar de los importantes desafíos para la inclusión, las luchas indígenas por los derechos culturales y la autonomía siguen siendo una parte fuerte y visible del tejido social (Bastos 2012). Argumentamos que la presencia continua de actores de guerra y partidos políticos arraigados en la política bélica en la esfera pública hace posible y limita el consenso sobre cómo se debe enseñar el pasado violento, con consecuencias para las democracias multiculturales que ambos estados pretendían moldear.</w:t>
      </w:r>
    </w:p>
    <w:p w14:paraId="0F1F3B7D" w14:textId="77777777" w:rsidR="00143A6C" w:rsidRPr="00FB7753" w:rsidRDefault="00143A6C" w:rsidP="00143A6C">
      <w:pPr>
        <w:ind w:firstLine="720"/>
        <w:rPr>
          <w:rFonts w:ascii="Garamond" w:hAnsi="Garamond"/>
          <w:lang w:val="es-MX"/>
        </w:rPr>
      </w:pPr>
      <w:r w:rsidRPr="00FB7753">
        <w:rPr>
          <w:rFonts w:ascii="Garamond" w:hAnsi="Garamond"/>
          <w:lang w:val="es-MX"/>
        </w:rPr>
        <w:t xml:space="preserve">Medir las poblaciones indígenas en ambos estados resulta resbaladizo, con diferentes métricas utilizadas por académicos y estados. El antropólogo Robin DeLugan señala que todavía, a partir de la década de 2010, no existe un censo preciso de ciudadanos indígenas en El Salvador (2012, 70). En lugar de atributos tradicionalmente reconocidos como el idioma o la vestimenta, </w:t>
      </w:r>
      <w:r w:rsidRPr="00FB7753">
        <w:rPr>
          <w:rFonts w:ascii="Garamond" w:hAnsi="Garamond"/>
          <w:lang w:val="es-MX"/>
        </w:rPr>
        <w:lastRenderedPageBreak/>
        <w:t xml:space="preserve">DeLugan documenta la tendencia de las organizaciones, en particular las agencias de ayuda, a reconocer que la indigeneidad en El Salvador se basa en indicadores culturalmente amplios como 'cosmovisión, orientación a la comunidad, conexión con el lugar y el medio ambiente, y medicinas </w:t>
      </w:r>
      <w:r w:rsidR="00956C6B" w:rsidRPr="00FB7753">
        <w:rPr>
          <w:rFonts w:ascii="Garamond" w:hAnsi="Garamond"/>
          <w:lang w:val="es-MX"/>
        </w:rPr>
        <w:t>tradicionales”</w:t>
      </w:r>
      <w:r w:rsidRPr="00FB7753">
        <w:rPr>
          <w:rFonts w:ascii="Garamond" w:hAnsi="Garamond"/>
          <w:lang w:val="es-MX"/>
        </w:rPr>
        <w:t>(ibid.). Utilizamos esta definición más amplia de indigeneidad para permitir cierto grado de agencia para los pueblos indígenas a través de la identificación personal con una variedad de atributos, en lugar de excluirlos debido a una ausencia performativa de señales visibles de orientación étnica. Esta definición también facilita una lengua vernácula común para la indigeneidad salvadoreña y guatemalteca. Si bien la apariencia de la indigeneidad y quién llega a contar como indígena varía en estos dos casos, los guatemaltecos que están representando visiblemente su identidad indígena, por ejemplo, hablando una lengua indígena o vistiendo ropa indígena, probablemente también se identificarán con indicadores más sutiles que delinean la indigeneidad</w:t>
      </w:r>
      <w:r w:rsidR="00956C6B" w:rsidRPr="00FB7753">
        <w:rPr>
          <w:rFonts w:ascii="Garamond" w:hAnsi="Garamond"/>
          <w:lang w:val="es-MX"/>
        </w:rPr>
        <w:t xml:space="preserve"> </w:t>
      </w:r>
      <w:r w:rsidRPr="00FB7753">
        <w:rPr>
          <w:rFonts w:ascii="Garamond" w:hAnsi="Garamond"/>
          <w:lang w:val="es-MX"/>
        </w:rPr>
        <w:t xml:space="preserve"> en El Salvador.</w:t>
      </w:r>
    </w:p>
    <w:p w14:paraId="3C39E2C2" w14:textId="77777777" w:rsidR="00143A6C" w:rsidRPr="00FB7753" w:rsidRDefault="00143A6C" w:rsidP="00143A6C">
      <w:pPr>
        <w:ind w:firstLine="720"/>
        <w:rPr>
          <w:rFonts w:ascii="Garamond" w:hAnsi="Garamond"/>
          <w:lang w:val="es-MX"/>
        </w:rPr>
      </w:pPr>
      <w:r w:rsidRPr="00FB7753">
        <w:rPr>
          <w:rFonts w:ascii="Garamond" w:hAnsi="Garamond"/>
          <w:lang w:val="es-MX"/>
        </w:rPr>
        <w:t>Los Estados y las comunidades continúan en desacuerdo sobre la forma adecuada de medir la indigeneidad, dadas las agendas en juego de ambos lados. Los académicos salvadoreños que trabajan en temas indígenas allí han llegado a tomar la definición más amplia anterior como una alternativa al mito del mestizaje derivado del estado dominante en el país y, por lo tanto, generalmente consideran que aproximadamente el diez por ciento de la población de seis millones de personas son indígenas (DeLugan 2012, 70; Gellman 2017, 133; Peterson 2006, 172; Tilley 2005, 34, 171). Esto contrasta fuertemente con el censo estatal salvadoreño de 2007, donde solo el 0.2 por ciento se identificó como indígena, pero es importante señalar que en este caso no existía la opción de autoidentificación como indígena; los censistas tenían autoridad para decidir quién era indígena y quién no (Anaya 2013, 4, DeLugan 2012, 73). En El Salvador, los tres grupos indígenas más grandes son Nahua, Kakawira y Lenca. Aunque son pequeñas, estas poblaciones, junto con sus partidarios, luchan por obtener el reconocimiento de la cultura indígena en general (Gellman 2017, 138-169).</w:t>
      </w:r>
    </w:p>
    <w:p w14:paraId="13BCF6BC" w14:textId="77777777" w:rsidR="00143A6C" w:rsidRPr="00FB7753" w:rsidRDefault="00143A6C" w:rsidP="00143A6C">
      <w:pPr>
        <w:ind w:firstLine="720"/>
        <w:rPr>
          <w:rFonts w:ascii="Garamond" w:hAnsi="Garamond"/>
          <w:lang w:val="es-MX"/>
        </w:rPr>
      </w:pPr>
      <w:r w:rsidRPr="00FB7753">
        <w:rPr>
          <w:rFonts w:ascii="Garamond" w:hAnsi="Garamond"/>
          <w:lang w:val="es-MX"/>
        </w:rPr>
        <w:t xml:space="preserve">Las medidas demográficas son cuestionadas de manera similar en Guatemala, donde aproximadamente el 40 por ciento de la población se autoidentifica como indígenas </w:t>
      </w:r>
      <w:r w:rsidR="00822EB3" w:rsidRPr="00FB7753">
        <w:rPr>
          <w:rFonts w:ascii="Garamond" w:hAnsi="Garamond"/>
          <w:lang w:val="es-MX"/>
        </w:rPr>
        <w:t>M</w:t>
      </w:r>
      <w:r w:rsidRPr="00FB7753">
        <w:rPr>
          <w:rFonts w:ascii="Garamond" w:hAnsi="Garamond"/>
          <w:lang w:val="es-MX"/>
        </w:rPr>
        <w:t xml:space="preserve">ayas, </w:t>
      </w:r>
      <w:r w:rsidR="007B395E" w:rsidRPr="00FB7753">
        <w:rPr>
          <w:rFonts w:ascii="Garamond" w:hAnsi="Garamond"/>
          <w:lang w:val="es-MX"/>
        </w:rPr>
        <w:t>X</w:t>
      </w:r>
      <w:r w:rsidRPr="00FB7753">
        <w:rPr>
          <w:rFonts w:ascii="Garamond" w:hAnsi="Garamond"/>
          <w:lang w:val="es-MX"/>
        </w:rPr>
        <w:t xml:space="preserve">inca y </w:t>
      </w:r>
      <w:r w:rsidR="007B395E" w:rsidRPr="00FB7753">
        <w:rPr>
          <w:rFonts w:ascii="Garamond" w:hAnsi="Garamond"/>
          <w:lang w:val="es-MX"/>
        </w:rPr>
        <w:t>G</w:t>
      </w:r>
      <w:r w:rsidRPr="00FB7753">
        <w:rPr>
          <w:rFonts w:ascii="Garamond" w:hAnsi="Garamond"/>
          <w:lang w:val="es-MX"/>
        </w:rPr>
        <w:t xml:space="preserve">arífunas en el censo de 2012 (ver López 2014, 20). Sin embargo, académicos (McCallister y Nelson, 2013, 6, 9) y grupos de defensa (Grupo de Trabajo Internacional para Asuntos Indígenas) se refieren a los indígenas como la mayoría de la población de Guatemala. Otros critican los datos del censo por subestimar habitualmente el número de </w:t>
      </w:r>
      <w:r w:rsidR="00FB094F" w:rsidRPr="00FB7753">
        <w:rPr>
          <w:rFonts w:ascii="Garamond" w:hAnsi="Garamond"/>
          <w:lang w:val="es-MX"/>
        </w:rPr>
        <w:t>M</w:t>
      </w:r>
      <w:r w:rsidRPr="00FB7753">
        <w:rPr>
          <w:rFonts w:ascii="Garamond" w:hAnsi="Garamond"/>
          <w:lang w:val="es-MX"/>
        </w:rPr>
        <w:t>ayas (Lovell y Lutz 1996, 400), citando el miedo a la discriminación, la medición deficiente, la migración o la incapacidad para hablar la lengua materna. En Guatemala, las lenguas indígenas se reconocen como lenguas nacionales, mientras que en El Salvador no existe un reconocimiento legal del idioma (Banco Mundial 2015, 26). Una mayor proporción de ciudadanos indígenas podría llevarnos a asumir que Guatemala tendría una cobertura educativa más sólida de la historia de violencia hacia las poblaciones indígenas que El Salvador. Sin embargo, la demografía por sí sola no explica las tendencias divergentes en el contenido curricular y otros desafíos para la inclusión indígena en el sector de la educación formal.</w:t>
      </w:r>
    </w:p>
    <w:p w14:paraId="53523DFF" w14:textId="77777777" w:rsidR="00143A6C" w:rsidRPr="00FB7753" w:rsidRDefault="00143A6C" w:rsidP="00143A6C">
      <w:pPr>
        <w:ind w:firstLine="720"/>
        <w:rPr>
          <w:rFonts w:ascii="Garamond" w:hAnsi="Garamond"/>
          <w:lang w:val="es-MX"/>
        </w:rPr>
      </w:pPr>
      <w:r w:rsidRPr="00FB7753">
        <w:rPr>
          <w:rFonts w:ascii="Garamond" w:hAnsi="Garamond"/>
          <w:lang w:val="es-MX"/>
        </w:rPr>
        <w:t>Argumentamos que las diferencias en los procesos de democratización, además de las distintas experiencias con la justicia transicional en cada país, han moldeado los caminos educativos disponibles para los jóvenes salvadoreños y guatemaltecos, especialmente los jóvenes indígenas, así como las concepciones de ciudadanía multicultural. Aunque limitados y problemáticos, los salvadoreños ahora tienen oportunidades públicas para explorar la historia de conflictos de su estado en los libros de texto escolares (ver Salvador 2009, 221-232), mientras que los guatemaltecos a menudo enfrentan el silencio histórico en las aulas y rara vez acceden a documentos históricos primarios o secundarios que describen la guerra civil. (Bellino 2016, 2017; Oglesby 2007a; 2007b; Rubin 2016). P</w:t>
      </w:r>
      <w:r w:rsidR="007B395E" w:rsidRPr="00FB7753">
        <w:rPr>
          <w:rFonts w:ascii="Garamond" w:hAnsi="Garamond"/>
          <w:lang w:val="es-MX"/>
        </w:rPr>
        <w:t>e</w:t>
      </w:r>
      <w:r w:rsidRPr="00FB7753">
        <w:rPr>
          <w:rFonts w:ascii="Garamond" w:hAnsi="Garamond"/>
          <w:lang w:val="es-MX"/>
        </w:rPr>
        <w:t>r</w:t>
      </w:r>
      <w:r w:rsidR="007B395E" w:rsidRPr="00FB7753">
        <w:rPr>
          <w:rFonts w:ascii="Garamond" w:hAnsi="Garamond"/>
          <w:lang w:val="es-MX"/>
        </w:rPr>
        <w:t>o</w:t>
      </w:r>
      <w:r w:rsidRPr="00FB7753">
        <w:rPr>
          <w:rFonts w:ascii="Garamond" w:hAnsi="Garamond"/>
          <w:lang w:val="es-MX"/>
        </w:rPr>
        <w:t xml:space="preserve"> 'silencio histórico' no implica necesariamente una ausencia de diálogo, sino más bien el borrado estratégico de las dimensiones políticas del conflicto armado, así como los vínculos </w:t>
      </w:r>
      <w:r w:rsidRPr="00FB7753">
        <w:rPr>
          <w:rFonts w:ascii="Garamond" w:hAnsi="Garamond"/>
          <w:lang w:val="es-MX"/>
        </w:rPr>
        <w:lastRenderedPageBreak/>
        <w:t>con las estructuras de poder coloniales y contemporáneas (Bellino 2014; Levenson 2013; Oglesby 2007b; Weld 2012).</w:t>
      </w:r>
    </w:p>
    <w:p w14:paraId="15214637" w14:textId="77777777" w:rsidR="00BD3361" w:rsidRPr="00FB7753" w:rsidRDefault="00BD3361" w:rsidP="00BD3361">
      <w:pPr>
        <w:ind w:firstLine="720"/>
        <w:rPr>
          <w:rFonts w:ascii="Garamond" w:hAnsi="Garamond"/>
          <w:lang w:val="es-MX"/>
        </w:rPr>
      </w:pPr>
      <w:r w:rsidRPr="00FB7753">
        <w:rPr>
          <w:rFonts w:ascii="Garamond" w:hAnsi="Garamond"/>
          <w:lang w:val="es-MX"/>
        </w:rPr>
        <w:t xml:space="preserve">La educación en historia sirve como el mecanismo a través del cual se forma el discurso sobre el pasado violento, así como la identidad indígena en relación al conflicto pasado. Las narrativas educativas integran las cuestiones indígenas de formas divergentes. Hay pocas menciones de grupos indígenas en el currículo salvadoreño, excepto como protagonistas anticuados de la revuelta antiestatal de principios del siglo XX (Salvador 2009, 104, 200). En contraste, en el currículo nacional de Guatemala hay un reconocimiento significativo de que los pueblos indígenas son ciudadanos de la democracia pluricultural. Estos esfuerzos hacia la inclusión han sido ampliamente criticados como "cosméticos" (Bastos 2012, 167) y como formas limitadas de "multiculturalismo neoliberal" con poca intención de reasignar recursos o redistribuir el poder (Hale 2002, 487-491). Sin embargo, de manera limitada, estos gestos simbólicos reconocen al menos el carácter indígena, en contraste con la negación abierta que persiste en las narrativas nacionales salvadoreñas (Dubón 2011). Para los estudiantes de ambos países, el papel de los pueblos indígenas como actores cívicos históricos y contemporáneos se minimiza profundamente en el currículo nacional y plantea interrogantes sobre la profundidad de los procesos de democratización que pueden incluir significantes </w:t>
      </w:r>
      <w:r w:rsidR="007B395E" w:rsidRPr="00FB7753">
        <w:rPr>
          <w:rFonts w:ascii="Garamond" w:hAnsi="Garamond"/>
          <w:lang w:val="es-MX"/>
        </w:rPr>
        <w:t>procedimentales,</w:t>
      </w:r>
      <w:r w:rsidRPr="00FB7753">
        <w:rPr>
          <w:rFonts w:ascii="Garamond" w:hAnsi="Garamond"/>
          <w:lang w:val="es-MX"/>
        </w:rPr>
        <w:t xml:space="preserve"> pero no la inclusión de los ciudadanos más marginados.</w:t>
      </w:r>
    </w:p>
    <w:p w14:paraId="388F7902" w14:textId="77777777" w:rsidR="00BD3361" w:rsidRPr="00FB7753" w:rsidRDefault="00BD3361" w:rsidP="00BD3361">
      <w:pPr>
        <w:ind w:firstLine="720"/>
        <w:rPr>
          <w:rFonts w:ascii="Garamond" w:hAnsi="Garamond"/>
          <w:lang w:val="es-MX"/>
        </w:rPr>
      </w:pPr>
    </w:p>
    <w:p w14:paraId="73221113" w14:textId="77777777" w:rsidR="00BD3361" w:rsidRPr="00FB7753" w:rsidRDefault="00BD3361" w:rsidP="00BD3361">
      <w:pPr>
        <w:ind w:firstLine="720"/>
        <w:rPr>
          <w:rFonts w:ascii="Garamond" w:hAnsi="Garamond"/>
          <w:lang w:val="es-MX"/>
        </w:rPr>
      </w:pPr>
    </w:p>
    <w:p w14:paraId="7CF5ED73" w14:textId="77777777" w:rsidR="00BD3361" w:rsidRPr="00FB7753" w:rsidRDefault="00BD3361" w:rsidP="000B7292">
      <w:pPr>
        <w:rPr>
          <w:rFonts w:ascii="Garamond" w:hAnsi="Garamond"/>
          <w:b/>
          <w:lang w:val="es-MX"/>
        </w:rPr>
      </w:pPr>
      <w:r w:rsidRPr="00FB7753">
        <w:rPr>
          <w:rFonts w:ascii="Garamond" w:hAnsi="Garamond"/>
          <w:b/>
          <w:lang w:val="es-MX"/>
        </w:rPr>
        <w:t>Democratización, justicia transicional y educación</w:t>
      </w:r>
    </w:p>
    <w:p w14:paraId="01A3562F" w14:textId="77777777" w:rsidR="00BD3361" w:rsidRPr="00FB7753" w:rsidRDefault="00BD3361" w:rsidP="00BD3361">
      <w:pPr>
        <w:ind w:firstLine="720"/>
        <w:rPr>
          <w:rFonts w:ascii="Garamond" w:hAnsi="Garamond"/>
          <w:lang w:val="es-MX"/>
        </w:rPr>
      </w:pPr>
    </w:p>
    <w:p w14:paraId="722DF0DC" w14:textId="77777777" w:rsidR="00BD3361" w:rsidRPr="00FB7753" w:rsidRDefault="00BD3361" w:rsidP="00BD3361">
      <w:pPr>
        <w:ind w:firstLine="720"/>
        <w:rPr>
          <w:rFonts w:ascii="Garamond" w:hAnsi="Garamond"/>
          <w:lang w:val="es-MX"/>
        </w:rPr>
      </w:pPr>
      <w:r w:rsidRPr="00FB7753">
        <w:rPr>
          <w:rFonts w:ascii="Garamond" w:hAnsi="Garamond"/>
          <w:lang w:val="es-MX"/>
        </w:rPr>
        <w:t>El concepto de democracia tiene un rico pedigrí en la literatura que critica su medición, definición y atributos (Bowman, Lehoucq y Mahoney 2005, 941; Tilly 2007, 7-11). Consideramos que la democracia procesal abarca indicadores como elecciones limpias y cambio de partido presidencial, mientras que la democratización incluye una renegociación del contrato social, los derechos y responsabilidades que tienen los ciudadanos y sus estados. La democratización generalmente indica una tendencia hacia una participación y consulta más equitativa para los ciudadanos en los procesos de gobernanza, según la definición de democracia de Robert Dahl que implica tanto la impugnación como la inclusión (Dahl 1971, 3; Tilly 2007, 13-14).</w:t>
      </w:r>
    </w:p>
    <w:p w14:paraId="677E1312" w14:textId="77777777" w:rsidR="000B7292" w:rsidRPr="00FB7753" w:rsidRDefault="000B7292" w:rsidP="000B7292">
      <w:pPr>
        <w:ind w:firstLine="720"/>
        <w:rPr>
          <w:rFonts w:ascii="Garamond" w:hAnsi="Garamond"/>
          <w:lang w:val="es-MX"/>
        </w:rPr>
      </w:pPr>
      <w:r w:rsidRPr="00FB7753">
        <w:rPr>
          <w:rFonts w:ascii="Garamond" w:hAnsi="Garamond"/>
          <w:lang w:val="es-MX"/>
        </w:rPr>
        <w:t xml:space="preserve">Con demasiada frecuencia se considera que democracia significa elecciones competitivas y sufragio, pero esta definición hace poco para aclarar qué es democracia, ya que quién puede votar y por qué es importante siguen siendo problemas conceptuales y de medición (Caraway 2004, 445-449; Doorenspleet 2000, 385- 391). En los últimos años, la expansión de la privatización, la competencia basada en el mercado y la responsabilidad individual ha contribuido a nuevos conceptos de democracia neoliberal (Burrell 2014), es decir, un cambio de régimen impulsado por la globalización económica que prioriza la elección del consumidor sobre la protección de los derechos tangibles, y como resultado, también crea 'rechazos neoliberales' para los ciudadanos que no encajan en el molde (Moodie 2009, 82-84). </w:t>
      </w:r>
    </w:p>
    <w:p w14:paraId="6AAE752D" w14:textId="77777777" w:rsidR="000B7292" w:rsidRPr="00FB7753" w:rsidRDefault="000B7292" w:rsidP="000B7292">
      <w:pPr>
        <w:ind w:firstLine="720"/>
        <w:rPr>
          <w:rFonts w:ascii="Garamond" w:hAnsi="Garamond"/>
          <w:lang w:val="es-MX"/>
        </w:rPr>
      </w:pPr>
      <w:r w:rsidRPr="00FB7753">
        <w:rPr>
          <w:rFonts w:ascii="Garamond" w:hAnsi="Garamond"/>
          <w:lang w:val="es-MX"/>
        </w:rPr>
        <w:t xml:space="preserve">La democracia neoliberal es, de hecho, el neoliberalismo legitimado por la democracia procesal y no es satisfactoria para abordar los problemas de inclusión indígena. A medida que problematizamos la enseñanza del pasado violento en Centroamérica, nos unimos a otros para insistir en que la inclusión democrática debe extenderse más allá de la democracia procesal para incluir procesos cualitativos como la inclusión en la educación y un sentido de pertenencia cívica en las experiencias cotidianas (BAU Levinson 2011; Rosaldo 1999). Dado que las historias nacionales de todo el mundo tienden a encarnar historias de élites y victorias, las contranarrativas brindan un espacio para que los ciudadanos marginados se opongan a ciertos tipos de representación y rechacen los enfoques hegemónicos de la gobernanza. Al incluir contranarrativas en los procesos y materiales educativos, en este caso significando diferentes entendimientos de las experiencias indígenas en </w:t>
      </w:r>
      <w:r w:rsidRPr="00FB7753">
        <w:rPr>
          <w:rFonts w:ascii="Garamond" w:hAnsi="Garamond"/>
          <w:lang w:val="es-MX"/>
        </w:rPr>
        <w:lastRenderedPageBreak/>
        <w:t>relación con la violencia pasada, los regímenes tienen el potencial de incluir a ciudadanos previamente marginados más profundamente en la política (Bellino 2015; 2016; Gellman 2017, 22</w:t>
      </w:r>
      <w:r w:rsidR="00806E99" w:rsidRPr="00FB7753">
        <w:rPr>
          <w:rFonts w:ascii="Garamond" w:hAnsi="Garamond"/>
          <w:lang w:val="es-MX"/>
        </w:rPr>
        <w:t xml:space="preserve">; </w:t>
      </w:r>
      <w:r w:rsidRPr="00FB7753">
        <w:rPr>
          <w:rFonts w:ascii="Garamond" w:hAnsi="Garamond"/>
          <w:lang w:val="es-MX"/>
        </w:rPr>
        <w:t>M. Levinson 2012, 116-137).</w:t>
      </w:r>
    </w:p>
    <w:p w14:paraId="41D21ECE" w14:textId="77777777" w:rsidR="000B7292" w:rsidRPr="00FB7753" w:rsidRDefault="000B7292" w:rsidP="000B7292">
      <w:pPr>
        <w:ind w:firstLine="720"/>
        <w:rPr>
          <w:rFonts w:ascii="Garamond" w:hAnsi="Garamond"/>
          <w:lang w:val="es-MX"/>
        </w:rPr>
      </w:pPr>
      <w:r w:rsidRPr="00FB7753">
        <w:rPr>
          <w:rFonts w:ascii="Garamond" w:hAnsi="Garamond"/>
          <w:lang w:val="es-MX"/>
        </w:rPr>
        <w:t>La justicia transicional, el proceso mediante el cual los estados buscan reparación por las violaciones cometidas durante períodos de conflicto y violaciones de derechos, opera como un segundo factor de fondo en nuestro argumento. En esencia, la forma en que las instituciones estatales administraron o subvirtieron la justicia posconflicto tiene un efecto significativo en la forma en que la historia del conflicto se transmite actualmente a través del sector de la educación formal. El vínculo entre los procesos de justicia transicional y la reforma educativa se teoriza cada vez más como fundamental para la reconciliación social, la construcción de la confianza democrática y el reconocimiento de un pasado injusto (Bellino, Paulson y Worden 2017; Cole y Murphy 2007; Paulson 2011).</w:t>
      </w:r>
    </w:p>
    <w:p w14:paraId="34F4AE69" w14:textId="77777777" w:rsidR="00BA0D02" w:rsidRPr="00FB7753" w:rsidRDefault="00BA0D02" w:rsidP="00BA0D02">
      <w:pPr>
        <w:ind w:firstLine="720"/>
        <w:rPr>
          <w:rFonts w:ascii="Garamond" w:hAnsi="Garamond"/>
          <w:lang w:val="es-MX"/>
        </w:rPr>
      </w:pPr>
      <w:r w:rsidRPr="00FB7753">
        <w:rPr>
          <w:rFonts w:ascii="Garamond" w:hAnsi="Garamond"/>
          <w:lang w:val="es-MX"/>
        </w:rPr>
        <w:t xml:space="preserve">Si bien El Salvador y Guatemala convocaron </w:t>
      </w:r>
      <w:r w:rsidR="00806E99" w:rsidRPr="00FB7753">
        <w:rPr>
          <w:rFonts w:ascii="Garamond" w:hAnsi="Garamond"/>
          <w:lang w:val="es-MX"/>
        </w:rPr>
        <w:t>C</w:t>
      </w:r>
      <w:r w:rsidRPr="00FB7753">
        <w:rPr>
          <w:rFonts w:ascii="Garamond" w:hAnsi="Garamond"/>
          <w:lang w:val="es-MX"/>
        </w:rPr>
        <w:t xml:space="preserve">omisiones de la </w:t>
      </w:r>
      <w:r w:rsidR="006A0618" w:rsidRPr="00FB7753">
        <w:rPr>
          <w:rFonts w:ascii="Garamond" w:hAnsi="Garamond"/>
          <w:lang w:val="es-MX"/>
        </w:rPr>
        <w:t>V</w:t>
      </w:r>
      <w:r w:rsidRPr="00FB7753">
        <w:rPr>
          <w:rFonts w:ascii="Garamond" w:hAnsi="Garamond"/>
          <w:lang w:val="es-MX"/>
        </w:rPr>
        <w:t>erdad, los procesos de documentación de quejas, juicios, amnistía y reparaciones se desarrollaron de manera diferente. El informe de la Comisión de la Verdad de El Salvador nombró a los perpetradores con la esperanza de abordar la cultura nacional de impunidad (Comisión de la Verdad de las Naciones Unidas para El Salvador y otros, 1993, 9), un objetivo que rápidamente se rompió con una ley de amnistía aprobada la semana siguiente a la publicación del informe.</w:t>
      </w:r>
      <w:r w:rsidR="006A0618" w:rsidRPr="00FB7753">
        <w:rPr>
          <w:rFonts w:ascii="Garamond" w:hAnsi="Garamond"/>
          <w:lang w:val="es-MX"/>
        </w:rPr>
        <w:t xml:space="preserve"> </w:t>
      </w:r>
      <w:r w:rsidRPr="00FB7753">
        <w:rPr>
          <w:rFonts w:ascii="Garamond" w:hAnsi="Garamond"/>
          <w:lang w:val="es-MX"/>
        </w:rPr>
        <w:t xml:space="preserve"> Aún no se han visto las consecuencias de que la Corte Suprema salvadoreña derogara la ley de amnistía en julio de 2016. La Comisión de Esclarecimiento Histórico de Guatemala (CEH 1999) aprendió de los resultados en El Salvador y optó por abordar procesos estructurales más amplios en lugar de nombrar a los perpetradores individuales. De manera similar, la Ley Nacional de Reparaciones en Guatemala aseguró la protección para una amplia gama de actos cometidos durante el contexto de la guerra, impidiendo los procesos de justicia legal y fomentando la desconfianza en las relaciones ciudadano-estado indígena.</w:t>
      </w:r>
    </w:p>
    <w:p w14:paraId="29D3C95D" w14:textId="77777777" w:rsidR="00BA0D02" w:rsidRPr="00FB7753" w:rsidRDefault="00BA0D02" w:rsidP="00BA0D02">
      <w:pPr>
        <w:ind w:firstLine="720"/>
        <w:rPr>
          <w:rFonts w:ascii="Garamond" w:hAnsi="Garamond"/>
          <w:lang w:val="es-MX"/>
        </w:rPr>
      </w:pPr>
      <w:r w:rsidRPr="00FB7753">
        <w:rPr>
          <w:rFonts w:ascii="Garamond" w:hAnsi="Garamond"/>
          <w:lang w:val="es-MX"/>
        </w:rPr>
        <w:t>La educación se ha utilizado en ambos países para oprimir o empoderar a diferentes segmentos de la población. Las escuelas son "sitios privilegiados" donde los jóvenes se socializan en las normas dominantes (Bénéï 2008, 21), incluidas las prácticas culturales estándar y la capacidad de tolerancia. Cuando existe tensión étnica, es común que las élites impulsen la homogeneización étnica a través de planes de estudio y libros de texto, demonizando la diferencia como peligrosa y una amenaza para la cohesión nacional (Bush y Saltarelli 2000, 13). Las escuelas en la época colonial y poscolonial sirvieron como calderos de aculturación, donde el monolingüismo y el monoculturalismo se imponían a través de planes de estudio y lenguaje de instrucción que priorizaban los valores criollos blancos y, más tarde, mestizos sobre los indígenas (Cortina 2014). En Guatemala, las poblaciones indígenas son las presuntas receptoras de la educación bilingüe intercultural (EIB); sin embargo, quedan dudas sobre la calidad y el alcance del acceso. Mientras tanto, en El Salvador, el Ministerio de Educación considera que la población indígena de El Salvador es demasiado pequeña y dispersa para necesitar BEI (Samour 2012).</w:t>
      </w:r>
    </w:p>
    <w:p w14:paraId="3CE0B8BF" w14:textId="77777777" w:rsidR="00BA0D02" w:rsidRPr="00FB7753" w:rsidRDefault="00BA0D02" w:rsidP="00BA0D02">
      <w:pPr>
        <w:ind w:firstLine="720"/>
        <w:rPr>
          <w:rFonts w:ascii="Garamond" w:hAnsi="Garamond"/>
          <w:lang w:val="es-MX"/>
        </w:rPr>
      </w:pPr>
      <w:r w:rsidRPr="00FB7753">
        <w:rPr>
          <w:rFonts w:ascii="Garamond" w:hAnsi="Garamond"/>
          <w:lang w:val="es-MX"/>
        </w:rPr>
        <w:t>La democratización y la justicia transicional operan lado a lado como componentes vitales que afectan el marco metadiscursivo de la educación histórica en dos niveles. Primero, la solidez del contrato social en cada país contribuye a la percepción de la legitimidad de las escuelas como instituciones sociales, así como a la validez de los planes de estudio escolares. En segundo lugar, los procesos de justicia transicional en cada país crearon incentivos y desincentivos para que los actores institucionales desarrollaran ciertas versiones historiográficas del pasado para su uso en entornos educativos formales.</w:t>
      </w:r>
    </w:p>
    <w:p w14:paraId="141C4790" w14:textId="77777777" w:rsidR="00BA0D02" w:rsidRPr="00FB7753" w:rsidRDefault="00BA0D02" w:rsidP="00BA0D02">
      <w:pPr>
        <w:ind w:firstLine="720"/>
        <w:rPr>
          <w:rFonts w:ascii="Garamond" w:hAnsi="Garamond"/>
          <w:lang w:val="es-MX"/>
        </w:rPr>
      </w:pPr>
      <w:r w:rsidRPr="00FB7753">
        <w:rPr>
          <w:rFonts w:ascii="Garamond" w:hAnsi="Garamond"/>
          <w:lang w:val="es-MX"/>
        </w:rPr>
        <w:t xml:space="preserve">Nuestro aporte muestra los resultados de la interacción entre democratización y justicia transicional en el ámbito de la inclusión indígena en las enseñanzas del pasado violento en El Salvador y Guatemala. Al poner estos dos casos en conversación entre sí, mostramos </w:t>
      </w:r>
      <w:r w:rsidR="006A0618" w:rsidRPr="00FB7753">
        <w:rPr>
          <w:rFonts w:ascii="Garamond" w:hAnsi="Garamond"/>
          <w:lang w:val="es-MX"/>
        </w:rPr>
        <w:t>que,</w:t>
      </w:r>
      <w:r w:rsidRPr="00FB7753">
        <w:rPr>
          <w:rFonts w:ascii="Garamond" w:hAnsi="Garamond"/>
          <w:lang w:val="es-MX"/>
        </w:rPr>
        <w:t xml:space="preserve"> a pesar de </w:t>
      </w:r>
      <w:r w:rsidRPr="00FB7753">
        <w:rPr>
          <w:rFonts w:ascii="Garamond" w:hAnsi="Garamond"/>
          <w:lang w:val="es-MX"/>
        </w:rPr>
        <w:lastRenderedPageBreak/>
        <w:t>contextos geopolíticos posteriores al conflicto similares, las experiencias divergentes de democratización y justicia transicional han llevado a distintos medios para abordar el conflicto y la ciudadanía multicultural. Al mismo tiempo, los sistemas educativos de ambos países silencian efectivamente a los ciudadanos indígenas a través de sus ausencias o roles limitados en los planes de estudio oficiales.</w:t>
      </w:r>
    </w:p>
    <w:p w14:paraId="1BF2206D" w14:textId="77777777" w:rsidR="00BA0D02" w:rsidRPr="00FB7753" w:rsidRDefault="00BA0D02" w:rsidP="00BA0D02">
      <w:pPr>
        <w:ind w:firstLine="720"/>
        <w:rPr>
          <w:rFonts w:ascii="Garamond" w:hAnsi="Garamond"/>
          <w:lang w:val="es-MX"/>
        </w:rPr>
      </w:pPr>
    </w:p>
    <w:p w14:paraId="32D2C985" w14:textId="77777777" w:rsidR="00BA0D02" w:rsidRPr="00FB7753" w:rsidRDefault="00BA0D02" w:rsidP="00BA0D02">
      <w:pPr>
        <w:rPr>
          <w:rFonts w:ascii="Garamond" w:hAnsi="Garamond"/>
          <w:b/>
          <w:lang w:val="es-MX"/>
        </w:rPr>
      </w:pPr>
      <w:r w:rsidRPr="00FB7753">
        <w:rPr>
          <w:rFonts w:ascii="Garamond" w:hAnsi="Garamond"/>
          <w:b/>
          <w:lang w:val="es-MX"/>
        </w:rPr>
        <w:t>Metodología como praxis</w:t>
      </w:r>
    </w:p>
    <w:p w14:paraId="5B89B793" w14:textId="77777777" w:rsidR="00BA0D02" w:rsidRPr="00FB7753" w:rsidRDefault="00BA0D02" w:rsidP="00BA0D02">
      <w:pPr>
        <w:ind w:firstLine="720"/>
        <w:rPr>
          <w:rFonts w:ascii="Garamond" w:hAnsi="Garamond"/>
          <w:lang w:val="es-MX"/>
        </w:rPr>
      </w:pPr>
    </w:p>
    <w:p w14:paraId="4D546E73" w14:textId="77777777" w:rsidR="00BA0D02" w:rsidRPr="00FB7753" w:rsidRDefault="00BA0D02" w:rsidP="00BA0D02">
      <w:pPr>
        <w:ind w:firstLine="720"/>
        <w:rPr>
          <w:rFonts w:ascii="Garamond" w:hAnsi="Garamond"/>
          <w:lang w:val="es-MX"/>
        </w:rPr>
      </w:pPr>
      <w:r w:rsidRPr="00FB7753">
        <w:rPr>
          <w:rFonts w:ascii="Garamond" w:hAnsi="Garamond"/>
          <w:lang w:val="es-MX"/>
        </w:rPr>
        <w:t xml:space="preserve">Dado que este artículo coloca a dos países en un marco comparativo, también coloca dos disciplinas en conversación entre sí. La ciencia política es generalmente menos propicia para el tipo de bucles de retroalimentación y la multidireccionalidad que abarca la teoría antropológica, mientras que el campo de la educación es igualmente cauteloso con los argumentos causales unidireccionales. Los estudios que exploran la relación entre el conflicto y la educación necesitan explicaciones que busquen la multicausalidad y la complejidad (Davies 2004). Como colaboradores, buscamos reconocer estas tensiones en nuestros enfoques para la construcción de teorías. Por ejemplo, el nítido argumento causal delineado anteriormente con la democratización, la justicia transicional y la identidad indígena operando como variables independientes que influyen en la enseñanza del pasado violento a través del mecanismo de reforma institucional, de </w:t>
      </w:r>
      <w:r w:rsidR="006A0618" w:rsidRPr="00FB7753">
        <w:rPr>
          <w:rFonts w:ascii="Garamond" w:hAnsi="Garamond"/>
          <w:lang w:val="es-MX"/>
        </w:rPr>
        <w:t>hecho,</w:t>
      </w:r>
      <w:r w:rsidRPr="00FB7753">
        <w:rPr>
          <w:rFonts w:ascii="Garamond" w:hAnsi="Garamond"/>
          <w:lang w:val="es-MX"/>
        </w:rPr>
        <w:t xml:space="preserve"> contiene innumerables ciclos de retroalimentación que dan cuenta de las interacciones entre estos procesos</w:t>
      </w:r>
      <w:r w:rsidR="006A0618" w:rsidRPr="00FB7753">
        <w:rPr>
          <w:rFonts w:ascii="Garamond" w:hAnsi="Garamond"/>
          <w:lang w:val="es-MX"/>
        </w:rPr>
        <w:t xml:space="preserve">, </w:t>
      </w:r>
      <w:r w:rsidRPr="00FB7753">
        <w:rPr>
          <w:rFonts w:ascii="Garamond" w:hAnsi="Garamond"/>
          <w:lang w:val="es-MX"/>
        </w:rPr>
        <w:t>como se promulgó sobre el terreno.</w:t>
      </w:r>
    </w:p>
    <w:p w14:paraId="3B1E08C5" w14:textId="77777777" w:rsidR="00BA0D02" w:rsidRPr="00FB7753" w:rsidRDefault="00BA0D02" w:rsidP="00BA0D02">
      <w:pPr>
        <w:ind w:firstLine="720"/>
        <w:rPr>
          <w:rFonts w:ascii="Garamond" w:hAnsi="Garamond"/>
          <w:lang w:val="es-MX"/>
        </w:rPr>
      </w:pPr>
      <w:r w:rsidRPr="00FB7753">
        <w:rPr>
          <w:rFonts w:ascii="Garamond" w:hAnsi="Garamond"/>
          <w:lang w:val="es-MX"/>
        </w:rPr>
        <w:t>Esos ciclos de retroalimentación, además de ser indicativos de tensión disciplinaria, también apuntan a la complejidad y multitud de partes interesadas involucradas en la implementación del cambio de políticas, ya que la praxis de la educación posconflicto incluye muchas partes móviles que los estados y los investigadores deben abordar simultáneamente. Por ejemplo, la formación docente, las modificaciones curriculares y las reformas de políticas se combinan con agendas políticas sobre narrativas nacionales, memorialización y, en última instancia, voluntad política de cambio. Las brechas y los bucles de retroalimentación que gobiernan el cambio de políticas en contextos formales e informales complican la relación entre las variables independientes, los mecanismos y los resultados.</w:t>
      </w:r>
    </w:p>
    <w:p w14:paraId="0A4342FD" w14:textId="77777777" w:rsidR="00C124E8" w:rsidRPr="00FB7753" w:rsidRDefault="00C124E8" w:rsidP="00C124E8">
      <w:pPr>
        <w:ind w:firstLine="720"/>
        <w:rPr>
          <w:rFonts w:ascii="Garamond" w:hAnsi="Garamond"/>
          <w:lang w:val="es-MX"/>
        </w:rPr>
      </w:pPr>
      <w:r w:rsidRPr="00FB7753">
        <w:rPr>
          <w:rFonts w:ascii="Garamond" w:hAnsi="Garamond"/>
          <w:lang w:val="es-MX"/>
        </w:rPr>
        <w:t>Nuestras metodologías colectivas que informan este artículo incluyen el análisis de contenido de los currículos escolares, los libros de texto y las políticas y documentos del Ministerio de Educación, y el trabajo etnográfico a través de la observación participante y entrevistas en escuelas y espacios educativos no formales en El Salvador y Guatemala, así como comparativas. análisis histórico de las literaturas del país. Cada uno de nosotros ha publicado por separado sobre temas relacionados en estos casos que hacen uso completo de estos métodos, y nuestro conocimiento básico de los casos se basa en estas experiencias. Sin embargo, en este artículo enfatizamos las fuentes de datos en nuestro trabajo individual que mejor abordan el tema común que hemos asumido como un proyecto conjunto. Esto significa que los datos que presentamos aquí no siempre son paralelos entre los casos porque abordamos el tema a través de métodos divergentes mientras estábamos en el campo, antes de decidir colaborar. Al decidir poner en conversación nuestra experiencia en casos, cada uno de nosotros recurrió a los métodos que mejor documentan los espacios de presencia y ausencia sobre la violencia histórica y la indigeneidad, y que muestran el papel que pueden jugar las contranarrativas en los esfuerzos de inclusión indígena. Por lo tanto, la ausencia de representación indígena en la educación formal se manifestó con mayor fuerza en el análisis textual en El Salvador y en las observaciones escolares en Guatemala. En conjunto, nuestra gama más amplia de herramientas metodológicas nos permite comparar patrones educativos en la región que aprovechan agendas más amplias que hemos explorado en otros lugares.</w:t>
      </w:r>
    </w:p>
    <w:p w14:paraId="516D9A15" w14:textId="77777777" w:rsidR="00C124E8" w:rsidRPr="00FB7753" w:rsidRDefault="00C124E8" w:rsidP="00C124E8">
      <w:pPr>
        <w:ind w:firstLine="720"/>
        <w:rPr>
          <w:rFonts w:ascii="Garamond" w:hAnsi="Garamond"/>
          <w:lang w:val="es-MX"/>
        </w:rPr>
      </w:pPr>
    </w:p>
    <w:p w14:paraId="74BCFDFA" w14:textId="77777777" w:rsidR="00C124E8" w:rsidRPr="00FB7753" w:rsidRDefault="00C124E8" w:rsidP="00C124E8">
      <w:pPr>
        <w:ind w:firstLine="720"/>
        <w:rPr>
          <w:rFonts w:ascii="Garamond" w:hAnsi="Garamond"/>
          <w:lang w:val="es-MX"/>
        </w:rPr>
      </w:pPr>
    </w:p>
    <w:p w14:paraId="116864AC" w14:textId="77777777" w:rsidR="00C124E8" w:rsidRPr="00FB7753" w:rsidRDefault="00C124E8" w:rsidP="00C124E8">
      <w:pPr>
        <w:rPr>
          <w:rFonts w:ascii="Garamond" w:hAnsi="Garamond"/>
          <w:b/>
          <w:lang w:val="es-MX"/>
        </w:rPr>
      </w:pPr>
      <w:r w:rsidRPr="00FB7753">
        <w:rPr>
          <w:rFonts w:ascii="Garamond" w:hAnsi="Garamond"/>
          <w:b/>
          <w:lang w:val="es-MX"/>
        </w:rPr>
        <w:t xml:space="preserve">Narrativas de pasados </w:t>
      </w:r>
      <w:r w:rsidRPr="00FB7753">
        <w:rPr>
          <w:rFonts w:ascii="Times New Roman" w:hAnsi="Times New Roman" w:cs="Times New Roman"/>
          <w:b/>
          <w:lang w:val="es-MX"/>
        </w:rPr>
        <w:t>​​</w:t>
      </w:r>
      <w:r w:rsidRPr="00FB7753">
        <w:rPr>
          <w:rFonts w:ascii="Garamond" w:hAnsi="Garamond"/>
          <w:b/>
          <w:lang w:val="es-MX"/>
        </w:rPr>
        <w:t>violentos</w:t>
      </w:r>
    </w:p>
    <w:p w14:paraId="6CEACFE8" w14:textId="77777777" w:rsidR="00C124E8" w:rsidRPr="00FB7753" w:rsidRDefault="00C124E8" w:rsidP="00C124E8">
      <w:pPr>
        <w:ind w:firstLine="720"/>
        <w:rPr>
          <w:rFonts w:ascii="Garamond" w:hAnsi="Garamond"/>
          <w:lang w:val="es-MX"/>
        </w:rPr>
      </w:pPr>
    </w:p>
    <w:p w14:paraId="0736E4AE" w14:textId="77777777" w:rsidR="00C124E8" w:rsidRPr="00FB7753" w:rsidRDefault="00C124E8" w:rsidP="00C124E8">
      <w:pPr>
        <w:ind w:firstLine="720"/>
        <w:rPr>
          <w:rFonts w:ascii="Garamond" w:hAnsi="Garamond"/>
          <w:lang w:val="es-MX"/>
        </w:rPr>
      </w:pPr>
      <w:r w:rsidRPr="00FB7753">
        <w:rPr>
          <w:rFonts w:ascii="Garamond" w:hAnsi="Garamond"/>
          <w:lang w:val="es-MX"/>
        </w:rPr>
        <w:t>Los pueblos indígenas han sido objetivos históricos de la violencia colonial y estatal tanto en El Salvador como en Guatemala, con el exterminio sistemático de los pueblos indígenas como parte de las agendas estatales (Gould y Lauria-Santiago 2008; Grandin 2000; Lindo-Fuentes et al.2007; Sanford 2003). Estas agendas se hicieron explícitas durante las guerras civiles en ambos países, particularmente en Guatemala, ya que la guerra abarcó un genocidio étnico, que ha sido claramente documentado y reconocido por actores internacionales. La guerra civil también abarcó la lucha de clases y la represión de los guatemaltecos pobres y de la clase trabajadora.</w:t>
      </w:r>
    </w:p>
    <w:p w14:paraId="5FEFA22E" w14:textId="77777777" w:rsidR="00921296" w:rsidRPr="00FB7753" w:rsidRDefault="00921296" w:rsidP="00921296">
      <w:pPr>
        <w:ind w:firstLine="720"/>
        <w:rPr>
          <w:rFonts w:ascii="Garamond" w:hAnsi="Garamond"/>
          <w:lang w:val="es-MX"/>
        </w:rPr>
      </w:pPr>
      <w:r w:rsidRPr="00FB7753">
        <w:rPr>
          <w:rFonts w:ascii="Garamond" w:hAnsi="Garamond"/>
          <w:lang w:val="es-MX"/>
        </w:rPr>
        <w:t xml:space="preserve">Por el contrario, la guerra de El Salvador generalmente se presenta como un conflicto de clase, aunque los pueblos indígenas también fueron atacados explícitamente (Lindo-Fuentes et al. 2007, 9-12). En su importante volumen que aborda la interacción entre la memoria, la violencia y la historiografía en El Salvador, los historiadores Lindo-Fuentes, Ching y Lara-Martínez hablan directamente de la 'causalidad comunista', o la idea de </w:t>
      </w:r>
      <w:r w:rsidR="00445C96" w:rsidRPr="00FB7753">
        <w:rPr>
          <w:rFonts w:ascii="Garamond" w:hAnsi="Garamond"/>
          <w:lang w:val="es-MX"/>
        </w:rPr>
        <w:t>que,</w:t>
      </w:r>
      <w:r w:rsidRPr="00FB7753">
        <w:rPr>
          <w:rFonts w:ascii="Garamond" w:hAnsi="Garamond"/>
          <w:lang w:val="es-MX"/>
        </w:rPr>
        <w:t xml:space="preserve"> en el ambiente de la guerra fría, las explicaciones previas para conflictos como la etnicidad fueron superados por un nuevo enfoque en el comunismo versus el capitalismo (ibid., 9). Los autores piden a los lectores que imaginen un escenario hipotético de `` qué pasaría si '' en el que la etnicidad se hubiera vuelto más prominente que los sistemas económicos en los patrones de conflicto global para recordarnos cómo los eventos históricos que dan forma al trabajo de los historiadores han sido cruciales para subvertir las justificaciones etnocausales en favor de los económicos (ibid., 9-11) .1 Mientras tanto, la CEH citó el racismo y el anticomunismo como impulsores interseccionales de la violencia en Guatemala. En la siguiente sección, relatamos el paso de la guerra civil a los procesos de justicia transicional y democratización en cada país. Llamamos especial atención a las narrativas oficiales de violencia para demostrar cómo estos relatos, que alimentan la reforma curricular, permanecen simultáneamente empapados en las políticas de transición de las que surgieron.</w:t>
      </w:r>
    </w:p>
    <w:p w14:paraId="072D96AE" w14:textId="77777777" w:rsidR="00921296" w:rsidRPr="00FB7753" w:rsidRDefault="00921296" w:rsidP="00921296">
      <w:pPr>
        <w:ind w:firstLine="720"/>
        <w:rPr>
          <w:rFonts w:ascii="Garamond" w:hAnsi="Garamond"/>
          <w:lang w:val="es-MX"/>
        </w:rPr>
      </w:pPr>
    </w:p>
    <w:p w14:paraId="7AFA4E20" w14:textId="77777777" w:rsidR="00921296" w:rsidRPr="00FB7753" w:rsidRDefault="00921296" w:rsidP="00BA2F1C">
      <w:pPr>
        <w:rPr>
          <w:rFonts w:ascii="Garamond" w:hAnsi="Garamond"/>
          <w:lang w:val="es-MX"/>
        </w:rPr>
      </w:pPr>
      <w:r w:rsidRPr="00FB7753">
        <w:rPr>
          <w:rFonts w:ascii="Garamond" w:hAnsi="Garamond"/>
          <w:i/>
          <w:lang w:val="es-MX"/>
        </w:rPr>
        <w:t>El Salvador: guerra y transición:</w:t>
      </w:r>
      <w:r w:rsidRPr="00FB7753">
        <w:rPr>
          <w:rFonts w:ascii="Garamond" w:hAnsi="Garamond"/>
          <w:lang w:val="es-MX"/>
        </w:rPr>
        <w:t xml:space="preserve"> la intensa desigualdad de El Salvador, históricamente relacionada con la producción agrícola y la propiedad de la tierra, fue desafiada por los pueblos indígenas y la izquierda política en 1932 y nuevamente durante la guerra civil. En el </w:t>
      </w:r>
      <w:r w:rsidR="00FB094F" w:rsidRPr="00FB7753">
        <w:rPr>
          <w:rFonts w:ascii="Garamond" w:hAnsi="Garamond"/>
          <w:lang w:val="es-MX"/>
        </w:rPr>
        <w:t>O</w:t>
      </w:r>
      <w:r w:rsidRPr="00FB7753">
        <w:rPr>
          <w:rFonts w:ascii="Garamond" w:hAnsi="Garamond"/>
          <w:lang w:val="es-MX"/>
        </w:rPr>
        <w:t xml:space="preserve">este de El Salvador en 1932, los militares masacraron a entre 10.000 y 30.000 personas, principalmente campesinos indígenas o cualquier persona percibida como izquierdista (Ching 1998, 206; Lindo-Fuentes, Ching y Martínez 2007, 2; Tilley 2005, 31). Como en 1932, la guerra civil (1980-1992), ideológicamente un conflicto entre el FMLN marxista y el gobierno salvadoreño, históricamente se describe como una contienda entre una pequeña élite terrateniente y las masas trabajadoras explotadas. Como en 1932, los pueblos indígenas fueron protagonistas importantes, aunque pasados </w:t>
      </w:r>
      <w:r w:rsidRPr="00FB7753">
        <w:rPr>
          <w:rFonts w:ascii="Times New Roman" w:hAnsi="Times New Roman" w:cs="Times New Roman"/>
          <w:lang w:val="es-MX"/>
        </w:rPr>
        <w:t>​​</w:t>
      </w:r>
      <w:r w:rsidRPr="00FB7753">
        <w:rPr>
          <w:rFonts w:ascii="Garamond" w:hAnsi="Garamond"/>
          <w:lang w:val="es-MX"/>
        </w:rPr>
        <w:t>por alto, en la lucha contra el dominio estatal (Gellman 2017, 164; Gould y Lauria-Santiago 2008, 285).</w:t>
      </w:r>
    </w:p>
    <w:p w14:paraId="6F941550" w14:textId="77777777" w:rsidR="00BA2F1C" w:rsidRPr="00FB7753" w:rsidRDefault="00BA2F1C" w:rsidP="00921296">
      <w:pPr>
        <w:ind w:firstLine="720"/>
        <w:rPr>
          <w:rFonts w:ascii="Garamond" w:hAnsi="Garamond"/>
          <w:lang w:val="es-MX"/>
        </w:rPr>
      </w:pPr>
      <w:r w:rsidRPr="00FB7753">
        <w:rPr>
          <w:rFonts w:ascii="Garamond" w:hAnsi="Garamond"/>
          <w:lang w:val="es-MX"/>
        </w:rPr>
        <w:t xml:space="preserve">La represión estatal por parte de los militares y los escuadrones de la muerte afiliados aumentó a lo largo de la década de 1970, y para 1980, el FMLN subsumió cinco facciones guerrilleras separadas para presentar un frente. El FMLN luchó para derrocar los órdenes sociales, económicos y políticos dominados por los ricos hombres fuertes y la derecha Alianza Republicana Nacionalista (ARENA), que fue apoyada por el gobierno de Estados Unidos como representante de la Guerra Fría. La guerra civil de El Salvador se caracterizó por abusos sistemáticos de los derechos humanos como desapariciones, torturas, violaciones y asesinatos, en su mayoría cometidos por el ejército salvadoreño o sus escuadrones paramilitares afiliados. Aproximadamente 75.000 personas murieron durante la guerra (Wood 2008, 541), la mayoría de ellos civiles rurales y muchos de ellos de origen indígena o mestizo. El papel de la participación de los indígenas salvadoreños en la guerra civil está mayormente indocumentado en la literatura debido a lo que Moodie denomina el </w:t>
      </w:r>
      <w:r w:rsidRPr="00FB7753">
        <w:rPr>
          <w:rFonts w:ascii="Garamond" w:hAnsi="Garamond"/>
          <w:lang w:val="es-MX"/>
        </w:rPr>
        <w:lastRenderedPageBreak/>
        <w:t>'desconocimiento' de la raza en el país, o la forma en que los salvadoreños han absorbido el mito del mestizaje y lo han comunicado en los medios sociales y sociales. formas materiales (2010, 193-195). Los salvadoreños, y los académicos que los han estudiado, se enfocan en la clase y los indicadores asociados en lugar de la raza al explicar la dinámica de la guerra (Moodie 2010, 195), pero estas tendencias están comenzando a ser cuestionadas (Gellman 2017, 155-169). Por lo tanto, mientras que la 'metanarrativa' pública del conflicto de El Salvador y sus secuelas es una narrativa de clase, estudios recientes conectan el resurgimiento del activismo indígena con llamados a reescribir la eliminación de la indigeneidad en el país y reconocer el papel permanente y duradero de los pueblos indígenas</w:t>
      </w:r>
      <w:r w:rsidR="00445C96" w:rsidRPr="00FB7753">
        <w:rPr>
          <w:rFonts w:ascii="Garamond" w:hAnsi="Garamond"/>
          <w:lang w:val="es-MX"/>
        </w:rPr>
        <w:t xml:space="preserve">, </w:t>
      </w:r>
      <w:r w:rsidRPr="00FB7753">
        <w:rPr>
          <w:rFonts w:ascii="Garamond" w:hAnsi="Garamond"/>
          <w:lang w:val="es-MX"/>
        </w:rPr>
        <w:t>personas allí (Gellman 2017, 150; Lindo-Fuentes et al. 2007, 11).</w:t>
      </w:r>
    </w:p>
    <w:p w14:paraId="1F02894A" w14:textId="77777777" w:rsidR="00BA2F1C" w:rsidRPr="00FB7753" w:rsidRDefault="00BA2F1C" w:rsidP="00BA2F1C">
      <w:pPr>
        <w:ind w:firstLine="720"/>
        <w:rPr>
          <w:rFonts w:ascii="Garamond" w:hAnsi="Garamond"/>
          <w:lang w:val="es-MX"/>
        </w:rPr>
      </w:pPr>
      <w:r w:rsidRPr="00FB7753">
        <w:rPr>
          <w:rFonts w:ascii="Garamond" w:hAnsi="Garamond"/>
          <w:lang w:val="es-MX"/>
        </w:rPr>
        <w:t>Los Acuerdos de Paz de 1992 crearon la Comisión de la Verdad y la Reconciliación (CVR), que documentó más de 13.000 violaciones de derechos humanos (Comisión de la Verdad de las Naciones Unidas para El Salvador y otros 1993). La CVR no documentó específicamente las quejas indígenas y fue socavada por una ley de amnistía aprobada inmediatamente después de su publicación. Luego de los Acuerdos de Paz, el FMLN se transformó en un partido político, pero no rompió el control de ARENA en la presidencia hasta la elección de Mauricio Funes en 2009, y continuó con el ex maestro de escuela y guerrillero del FMLN Salvador Sánchez Cerén en 2014. Sin embargo, la reinvención democrática del FMLN sólo incluyó modestamente medidas para abordar los derechos indígenas. En 2012, el gobierno del FMLN facilitó la visita del ex Relator Especial de las Naciones Unidas para los Derechos de los Pueblos Indígenas, James Anaya, quien hizo una serie de recomendaciones al gobierno sobre cómo proteger mejor los derechos indígenas, incluido su reconocimiento en la Constitución nacional</w:t>
      </w:r>
      <w:r w:rsidR="006B06CE" w:rsidRPr="00FB7753">
        <w:rPr>
          <w:rFonts w:ascii="Garamond" w:hAnsi="Garamond"/>
          <w:lang w:val="es-MX"/>
        </w:rPr>
        <w:t xml:space="preserve">, </w:t>
      </w:r>
      <w:r w:rsidRPr="00FB7753">
        <w:rPr>
          <w:rFonts w:ascii="Garamond" w:hAnsi="Garamond"/>
          <w:lang w:val="es-MX"/>
        </w:rPr>
        <w:t xml:space="preserve"> que el gobierno ha prestado atención, y la ratificación de El Salvador del Convenio Internacional del Trabajo 169, que no ha hecho (Anaya 2013, 18-22). Frente a la violencia contemporánea que desestabiliza al país, los derechos indígenas no han sido una prioridad política.</w:t>
      </w:r>
    </w:p>
    <w:p w14:paraId="3F598CA9" w14:textId="77777777" w:rsidR="00BA2F1C" w:rsidRPr="00FB7753" w:rsidRDefault="00BA2F1C" w:rsidP="00BA2F1C">
      <w:pPr>
        <w:ind w:firstLine="720"/>
        <w:rPr>
          <w:rFonts w:ascii="Garamond" w:hAnsi="Garamond"/>
          <w:lang w:val="es-MX"/>
        </w:rPr>
      </w:pPr>
    </w:p>
    <w:p w14:paraId="697612BF" w14:textId="77777777" w:rsidR="00BA2F1C" w:rsidRPr="00FB7753" w:rsidRDefault="00BA2F1C" w:rsidP="00BA2F1C">
      <w:pPr>
        <w:rPr>
          <w:rFonts w:ascii="Garamond" w:hAnsi="Garamond"/>
          <w:lang w:val="es-MX"/>
        </w:rPr>
      </w:pPr>
      <w:r w:rsidRPr="00FB7753">
        <w:rPr>
          <w:rFonts w:ascii="Garamond" w:hAnsi="Garamond"/>
          <w:i/>
          <w:lang w:val="es-MX"/>
        </w:rPr>
        <w:t>Guatemala: guerra y transición:</w:t>
      </w:r>
      <w:r w:rsidRPr="00FB7753">
        <w:rPr>
          <w:rFonts w:ascii="Garamond" w:hAnsi="Garamond"/>
          <w:lang w:val="es-MX"/>
        </w:rPr>
        <w:t xml:space="preserve"> El "conflicto armado" de Guatemala duró de 1960 a 1996 y se considera una de las guerras civiles más brutales de la historia de América Latina, con aproximadamente 200.000 personas muertas o desaparecidas (CEH 1999). Debido a que los actores estatales cometieron la gran mayoría de los crímenes contra civiles inocentes, algunos académicos rechazan la delineación de guerra civil, calificando este período como una "guerra contra civiles" (Torres-Rivas 2006, 12). Más específicamente, la mayoría de las víctimas de secuestros, torturas, asesinatos, violencia sexual, reclutamiento forzoso paramilitares y desplazamiento eran civiles indígenas. Los líderes culturales y espirituales indígenas sufrieron muertes públicas y extremadamente brutales, y el ejército destruyó sistemáticamente los lugares sagrados y los símbolos del cristianismo y la espiritualidad maya.</w:t>
      </w:r>
    </w:p>
    <w:p w14:paraId="71BA240B" w14:textId="77777777" w:rsidR="00BA2F1C" w:rsidRPr="00FB7753" w:rsidRDefault="00BA2F1C" w:rsidP="00BA2F1C">
      <w:pPr>
        <w:ind w:firstLine="720"/>
        <w:rPr>
          <w:rFonts w:ascii="Garamond" w:hAnsi="Garamond"/>
          <w:lang w:val="es-MX"/>
        </w:rPr>
      </w:pPr>
      <w:r w:rsidRPr="00FB7753">
        <w:rPr>
          <w:rFonts w:ascii="Garamond" w:hAnsi="Garamond"/>
          <w:lang w:val="es-MX"/>
        </w:rPr>
        <w:t>El conflicto armado pasó por varias etapas, con ladinos y mestizos atacados en mayor número que los indígenas en los primeros años (CEH 1999). Los movimientos guerrilleros organizaron a guatemaltecos marginados a través de líneas étnicas, defendiendo la lucha armada como el único medio de transformación social y política en un estado cada vez más represivo. En esencia, se trataba de una lucha por la equidad y la democracia para todos los guatemaltecos (Menchú y Burgos-Debray 1984, 1). Sin embargo, la etnia jugó un papel determinante en los años más brutales del conflicto, ya que la campaña de contrainsurgencia del estado se enfocó en las poblaciones indígenas rurales, una manifestación de "racismo politizado por el anticomunismo" (Grandin 2005, 65). De esta manera, el racismo arraigado de Guatemala se cruzó con la política global de la Guerra Fría y fue más movilizado por los intereses económicos de Estados Unidos.</w:t>
      </w:r>
    </w:p>
    <w:p w14:paraId="0D05A11A" w14:textId="77777777" w:rsidR="00BA2F1C" w:rsidRPr="00FB7753" w:rsidRDefault="00BA2F1C" w:rsidP="00BA2F1C">
      <w:pPr>
        <w:ind w:firstLine="720"/>
        <w:rPr>
          <w:rFonts w:ascii="Garamond" w:hAnsi="Garamond"/>
          <w:lang w:val="es-MX"/>
        </w:rPr>
      </w:pPr>
      <w:r w:rsidRPr="00FB7753">
        <w:rPr>
          <w:rFonts w:ascii="Garamond" w:hAnsi="Garamond"/>
          <w:lang w:val="es-MX"/>
        </w:rPr>
        <w:t xml:space="preserve">La Comisión de Esclarecimiento Histórico (CEH 1999) que investigó los abusos a los derechos humanos cometidos durante la guerra documentó la brutalidad desproporcionada contra los pueblos indígenas, junto con la destrucción sistemática de los espacios y símbolos culturales </w:t>
      </w:r>
      <w:r w:rsidRPr="00FB7753">
        <w:rPr>
          <w:rFonts w:ascii="Garamond" w:hAnsi="Garamond"/>
          <w:lang w:val="es-MX"/>
        </w:rPr>
        <w:lastRenderedPageBreak/>
        <w:t xml:space="preserve">indígenas mayas. La CEH determinó que la guerra abarcó el genocidio étnico de los grupos mayas, sin embargo, su capacidad para dar forma a la narrativa histórica se debió a la negación del estado del genocidio y los ataques públicos presionados para la credibilidad de la Comisión (Weld 2014, 61-63). La Oficina de Derechos Humanos de la Arquidiócesis Católica de Guatemala inició su propia </w:t>
      </w:r>
      <w:r w:rsidR="00806E99" w:rsidRPr="00FB7753">
        <w:rPr>
          <w:rFonts w:ascii="Garamond" w:hAnsi="Garamond"/>
          <w:lang w:val="es-MX"/>
        </w:rPr>
        <w:t>C</w:t>
      </w:r>
      <w:r w:rsidRPr="00FB7753">
        <w:rPr>
          <w:rFonts w:ascii="Garamond" w:hAnsi="Garamond"/>
          <w:lang w:val="es-MX"/>
        </w:rPr>
        <w:t xml:space="preserve">omisión de la </w:t>
      </w:r>
      <w:r w:rsidR="006B06CE" w:rsidRPr="00FB7753">
        <w:rPr>
          <w:rFonts w:ascii="Garamond" w:hAnsi="Garamond"/>
          <w:lang w:val="es-MX"/>
        </w:rPr>
        <w:t>V</w:t>
      </w:r>
      <w:r w:rsidRPr="00FB7753">
        <w:rPr>
          <w:rFonts w:ascii="Garamond" w:hAnsi="Garamond"/>
          <w:lang w:val="es-MX"/>
        </w:rPr>
        <w:t>erdad, el Proyecto de Recuperación de la Memoria Histórica (REMHI). En un extraño paralelo al asesinato del arzobispo Oscar Romero en El Salvador por sus esfuerzos de paz, el líder de REMHI, el obispo Gerardi, fue asesinado dos días después de la publicación pública del informe. Aunque el asesinato de Gerardi fue despolitizado intencionalmente por las investigaciones policiales (Goldman 2007, 65-66), sirvió como una clara advertencia de los límites de las contranarrativas que serían toleradas en los espacios públicos, una amenaza que no ha perdido relevancia casi dos décadas después, ya que los defensores de los derechos humanos continúan soportando una represión violenta (UDEFEGUA 2011).</w:t>
      </w:r>
    </w:p>
    <w:p w14:paraId="2C021386" w14:textId="77777777" w:rsidR="00BA2F1C" w:rsidRPr="00FB7753" w:rsidRDefault="00BA2F1C" w:rsidP="00BA2F1C">
      <w:pPr>
        <w:ind w:firstLine="720"/>
        <w:rPr>
          <w:rFonts w:ascii="Garamond" w:hAnsi="Garamond"/>
          <w:lang w:val="es-MX"/>
        </w:rPr>
      </w:pPr>
      <w:r w:rsidRPr="00FB7753">
        <w:rPr>
          <w:rFonts w:ascii="Garamond" w:hAnsi="Garamond"/>
          <w:lang w:val="es-MX"/>
        </w:rPr>
        <w:t>Al igual que en El Salvador, los partidos políticos de Guatemala siguen vinculados al pasado violento, mientras que las figuras públicas a menudo se caracterizan por sus conexiones con la guerra. La elección presidencial de 2011 del ex general militar Otto Pérez Molina, el primer afiliado militar en el poder desde la guerra, provocó una disputa pública sobre si Guatemala seguía siendo una democracia o había vuelto al autoritarismo, y estos debates afectaron las discusiones en el aula sobre ciudadanía y democracia en Guatemala (Bellino 2015; 2016; 2017). Tras la destitución de Pérez Molina de su cargo, Jimmy Morales, un político sin experiencia cuyo partido está respaldado por militares de línea dura, fue elegido presidente. Su elección y los arrestos posteriores de 18 ex líderes militares, algunos de los cuales se rumoreaba que eran los miembros de su gabinete previstos, sirven como recordatorio de la "impunidad vertical" en este caso (Sanford 2003, 267). Mientras tanto, prosiguen los esfuerzos para llevar a los perpetradores ante la justicia. En marzo de 2013, el exjefe de Estado Efraín Ríos Montt fue declarado culpable de genocidio en los tribunales nacionales. Mientras las comunidades indígenas y los grupos de activistas celebraban el juicio como una victoria de la justicia tardía, los grupos conservadores de la sociedad civil protestaron públicamente por la legitimidad del juicio. Apenas unos días después de la sentencia de Ríos Montt, el veredicto fue anulado. Elizabeth Oglesby ha descrito estas aperturas y cierres en el discurso público, que persisten décadas después del proceso de paz, como un "doble movimiento" que simultáneamente crea un espacio para el diálogo, pero lo limita a una "gama cada vez más estrecha de narrativas" (2007a, 79). A medida que los parámetros del conflicto armado de Guatemala se han reducido, la historia de la violencia étnica y política se ha despolitizado y descontextualizado cada vez más de las estructuras y prácticas coloniales, así como del racismo contemporáneo y los legados autoritarios.</w:t>
      </w:r>
    </w:p>
    <w:p w14:paraId="66B3D48B" w14:textId="77777777" w:rsidR="00D46AD4" w:rsidRPr="00FB7753" w:rsidRDefault="00D46AD4" w:rsidP="00BA2F1C">
      <w:pPr>
        <w:ind w:firstLine="720"/>
        <w:rPr>
          <w:rFonts w:ascii="Garamond" w:hAnsi="Garamond"/>
          <w:lang w:val="es-MX"/>
        </w:rPr>
      </w:pPr>
    </w:p>
    <w:p w14:paraId="1BEDC2AC" w14:textId="77777777" w:rsidR="00BA2F1C" w:rsidRPr="00FB7753" w:rsidRDefault="00BA2F1C" w:rsidP="00BA2F1C">
      <w:pPr>
        <w:ind w:firstLine="720"/>
        <w:rPr>
          <w:rFonts w:ascii="Garamond" w:hAnsi="Garamond"/>
          <w:lang w:val="es-MX"/>
        </w:rPr>
      </w:pPr>
    </w:p>
    <w:p w14:paraId="0B5202B9" w14:textId="77777777" w:rsidR="00BA2F1C" w:rsidRPr="00FB7753" w:rsidRDefault="00BA2F1C" w:rsidP="00BA2F1C">
      <w:pPr>
        <w:ind w:firstLine="720"/>
        <w:rPr>
          <w:rFonts w:ascii="Garamond" w:hAnsi="Garamond"/>
          <w:lang w:val="es-MX"/>
        </w:rPr>
      </w:pPr>
    </w:p>
    <w:p w14:paraId="643F3C8F" w14:textId="77777777" w:rsidR="00BA2F1C" w:rsidRPr="00FB7753" w:rsidRDefault="00BA2F1C" w:rsidP="00BA2F1C">
      <w:pPr>
        <w:rPr>
          <w:rFonts w:ascii="Garamond" w:hAnsi="Garamond"/>
          <w:b/>
          <w:lang w:val="es-MX"/>
        </w:rPr>
      </w:pPr>
      <w:r w:rsidRPr="00FB7753">
        <w:rPr>
          <w:rFonts w:ascii="Garamond" w:hAnsi="Garamond"/>
          <w:b/>
          <w:lang w:val="es-MX"/>
        </w:rPr>
        <w:t>¿Educación para qué, quién y cómo?</w:t>
      </w:r>
    </w:p>
    <w:p w14:paraId="6903337B" w14:textId="77777777" w:rsidR="005D5E76" w:rsidRPr="00FB7753" w:rsidRDefault="005D5E76" w:rsidP="005D5E76">
      <w:pPr>
        <w:ind w:firstLine="720"/>
        <w:rPr>
          <w:rFonts w:ascii="Garamond" w:hAnsi="Garamond"/>
          <w:lang w:val="es-MX"/>
        </w:rPr>
      </w:pPr>
      <w:r w:rsidRPr="00FB7753">
        <w:rPr>
          <w:rFonts w:ascii="Garamond" w:hAnsi="Garamond"/>
          <w:lang w:val="es-MX"/>
        </w:rPr>
        <w:t xml:space="preserve">Las políticas y prácticas de educación formal patrocinadas por el </w:t>
      </w:r>
      <w:r w:rsidR="00FB094F" w:rsidRPr="00FB7753">
        <w:rPr>
          <w:rFonts w:ascii="Garamond" w:hAnsi="Garamond"/>
          <w:lang w:val="es-MX"/>
        </w:rPr>
        <w:t>E</w:t>
      </w:r>
      <w:r w:rsidRPr="00FB7753">
        <w:rPr>
          <w:rFonts w:ascii="Garamond" w:hAnsi="Garamond"/>
          <w:lang w:val="es-MX"/>
        </w:rPr>
        <w:t xml:space="preserve">stado cuentan historias importantes sobre cómo el estado visualiza a sus ciudadanos, en qué rol y con qué propósito. Las normas y prácticas educativas arrojan luz sobre quién pertenece, qué grupos se consideran dignos de los beneficios de la ciudadanía y la naturaleza de la relación democrática ideal entre el </w:t>
      </w:r>
      <w:r w:rsidR="00FB094F" w:rsidRPr="00FB7753">
        <w:rPr>
          <w:rFonts w:ascii="Garamond" w:hAnsi="Garamond"/>
          <w:lang w:val="es-MX"/>
        </w:rPr>
        <w:t>E</w:t>
      </w:r>
      <w:r w:rsidRPr="00FB7753">
        <w:rPr>
          <w:rFonts w:ascii="Garamond" w:hAnsi="Garamond"/>
          <w:lang w:val="es-MX"/>
        </w:rPr>
        <w:t xml:space="preserve">stado y los ciudadanos (B.A.U. Levinson 2011, 280-282). Las escuelas son una de las instituciones cívicas más poderosas de las sociedades, y las experiencias cotidianas en la escuela moldean y desafían la identidad nacional y las concepciones de "buena ciudadanía" (Bellino 2015, 538, 552, 557-558). En este sentido, las escuelas no solo sirven a los ciudadanos, sino que los moldean activamente (M. Levinson 2012). La estructura institucional de las escuelas, el idioma de instrucción y el contenido curricular son mediadores importantes en estas experiencias cívicas, que sirven como indicadores de ciudadanía multicultural y el papel del pasado violento en las democracias de posguerra. Las </w:t>
      </w:r>
      <w:r w:rsidRPr="00FB7753">
        <w:rPr>
          <w:rFonts w:ascii="Garamond" w:hAnsi="Garamond"/>
          <w:lang w:val="es-MX"/>
        </w:rPr>
        <w:lastRenderedPageBreak/>
        <w:t>siguientes secciones muestran ejemplos de compromiso textual y curricular con la identidad indígena en la educación formal en El Salvador y Guatemala. Si bien las fuentes de datos para cada caso no son idénticas, esto refleja la diversidad metodológica de los autores y, en conjunto, ofrece un análisis de las tendencias educativas en la región.</w:t>
      </w:r>
    </w:p>
    <w:p w14:paraId="3ADAE75A" w14:textId="77777777" w:rsidR="005D5E76" w:rsidRPr="00FB7753" w:rsidRDefault="005D5E76" w:rsidP="005D5E76">
      <w:pPr>
        <w:rPr>
          <w:rFonts w:ascii="Garamond" w:hAnsi="Garamond"/>
          <w:lang w:val="es-MX"/>
        </w:rPr>
      </w:pPr>
    </w:p>
    <w:p w14:paraId="7AEA3039" w14:textId="77777777" w:rsidR="005D5E76" w:rsidRPr="00FB7753" w:rsidRDefault="005D5E76" w:rsidP="005D5E76">
      <w:pPr>
        <w:rPr>
          <w:rFonts w:ascii="Garamond" w:hAnsi="Garamond"/>
          <w:lang w:val="es-MX"/>
        </w:rPr>
      </w:pPr>
      <w:r w:rsidRPr="00FB7753">
        <w:rPr>
          <w:rFonts w:ascii="Garamond" w:hAnsi="Garamond"/>
          <w:i/>
          <w:lang w:val="es-MX"/>
        </w:rPr>
        <w:t>Educación en El Salvador</w:t>
      </w:r>
      <w:r w:rsidRPr="00FB7753">
        <w:rPr>
          <w:rFonts w:ascii="Garamond" w:hAnsi="Garamond"/>
          <w:lang w:val="es-MX"/>
        </w:rPr>
        <w:t>: La reforma educativa salvadoreña en general no ha alterado el status quo de las relaciones socioeconómicas jerárquicas en el país. Antes del cambio de poder de 2009, el Ministerio de Educación de ARENA mantenía la narrativa de que El Salvador era un país de mestizos, que la guerra civil era una de comunistas que intentaban acabar con la democracia y que la represión militar era necesaria para preservar el orden y el progreso. Antes de ARENA, en las décadas de 1960 y 1970, la agenda educativa del Partido de Conciliación Nacional (PCN) era implementar un enfoque burocrático y tecnológico para la reforma educativa a través de inversiones a gran escala en la creación de aulas televisadas (Lindo-Fuentes y Ching 2012, 3). Las aulas televisadas solidificaron el control gubernamental sobre el contenido de la enseñanza rural, pero no demostraron educar a los estudiantes de manera más efectiva o eficiente (Lindo-Fuentes y Ching 2012, 249-252).</w:t>
      </w:r>
    </w:p>
    <w:p w14:paraId="0548F452" w14:textId="77777777" w:rsidR="00845366" w:rsidRPr="00FB7753" w:rsidRDefault="00845366" w:rsidP="00845366">
      <w:pPr>
        <w:rPr>
          <w:rFonts w:ascii="Garamond" w:hAnsi="Garamond"/>
          <w:lang w:val="es-MX"/>
        </w:rPr>
      </w:pPr>
      <w:r w:rsidRPr="00FB7753">
        <w:rPr>
          <w:rFonts w:ascii="Garamond" w:hAnsi="Garamond"/>
          <w:lang w:val="es-MX"/>
        </w:rPr>
        <w:tab/>
        <w:t>La historia se absorbe en un amplio paquete de ciencias sociales a nivel secundario en El Salvador, como es el caso de Guatemala (Oglesby 2007a). Solo en la década de 2000 se agregó un campo de historia en el nivel terciario, y sigue siendo una disciplina incipiente. En la era posterior al Acuerdo de Paz, ARENA continuó controlando el Ministerio de Educación (MINED), los libros de texto y los planes de estudio, y la capacitación de maestros no cambió el contenido de manera dramática. Bajo el presidente Funes y, posteriormente, Sánchez Cerén, ha habido modestas reformas. Historia Mínima, un libro de historia salvadoreña, fue lanzado por el presidente Funes y la Secretaría de Cultura en 2011 para conmemorar el bicentenario de la independencia de El Salvador. El libro reúne a una variedad de historiadores salvadoreños y salvadoreños expertos cuyos capítulos están colocados en orden cronológico y temático que abarca desde 1808 hasta 2011. Historia Mínima está escrita para un público general y no específicamente para uso escolar. El libro fue descrito por uno de sus autores como una "expresión de historiografía más que como un esfuerzo curricular" (Ching 2016) y fue compilado con la intención de hacer que la historia salvadoreña esté más disponible para la población salvadoreña en general.</w:t>
      </w:r>
    </w:p>
    <w:p w14:paraId="5AD199C5" w14:textId="77777777" w:rsidR="00845366" w:rsidRPr="00FB7753" w:rsidRDefault="00845366" w:rsidP="0043049B">
      <w:pPr>
        <w:ind w:firstLine="720"/>
        <w:rPr>
          <w:rFonts w:ascii="Garamond" w:hAnsi="Garamond"/>
          <w:lang w:val="es-MX"/>
        </w:rPr>
      </w:pPr>
      <w:r w:rsidRPr="00FB7753">
        <w:rPr>
          <w:rFonts w:ascii="Garamond" w:hAnsi="Garamond"/>
          <w:lang w:val="es-MX"/>
        </w:rPr>
        <w:t xml:space="preserve">Historia Mínima está concentrada a nivel macro, lo que significa que cada autor se centra en las tendencias teóricas e institucionales generales que ocurren dentro de su período de tiempo determinado, principalmente a expensas de los detalles sobre los detalles de cada caso. Por ejemplo, aunque el capítulo sobre la guerra civil discute cada una de las tres teorías principales sobre por qué ocurrió la guerra desde el gobierno, el FMLN y las perspectivas académicas (Argueta 2011, 90), los principales eventos bélicos como el asesinato de Oscar Romero y </w:t>
      </w:r>
      <w:r w:rsidR="00D46AD4" w:rsidRPr="00FB7753">
        <w:rPr>
          <w:rFonts w:ascii="Garamond" w:hAnsi="Garamond"/>
          <w:lang w:val="es-MX"/>
        </w:rPr>
        <w:t>n</w:t>
      </w:r>
      <w:r w:rsidRPr="00FB7753">
        <w:rPr>
          <w:rFonts w:ascii="Garamond" w:hAnsi="Garamond"/>
          <w:lang w:val="es-MX"/>
        </w:rPr>
        <w:t>o se menciona la masacre de Mozote. El trato de Historia Mínima a los indígenas salvadoreños tiene fortalezas y debilidades. Gran parte del análisis de Ching sobre el levantamiento de 1932 habla de los principales actores como campesinos, aunque al final de su capítulo menciona que la mayoría de los municipios afectados tenían una mayoría de población indígena (Ching 2011, 67). Si bien el trabajo más amplio de Ching ha sido un componente vital para reinscribir la etnicidad en las discusiones de 1932, en Historia Mínima el análisis a nivel macro se mantiene a expensas de avenidas más detalladas o biográficas en la historia. Como libro que busca hacer visibles las razones estructurales de la desigualdad histórica sin cerrar el diálogo con fuerzas más conservadoras, su tono lo posiciona para el éxito entre los lectores salvadoreños en general. Finalmente, cuando se compara con los únicos otros libros completos de historia salvadoreña disponibles en el país, el tono de Historia Mínima es claramente más progresista.</w:t>
      </w:r>
    </w:p>
    <w:p w14:paraId="36050C4F" w14:textId="77777777" w:rsidR="0043049B" w:rsidRPr="00FB7753" w:rsidRDefault="0043049B" w:rsidP="0043049B">
      <w:pPr>
        <w:ind w:firstLine="720"/>
        <w:rPr>
          <w:rFonts w:ascii="Garamond" w:hAnsi="Garamond"/>
          <w:lang w:val="es-MX"/>
        </w:rPr>
      </w:pPr>
      <w:r w:rsidRPr="00FB7753">
        <w:rPr>
          <w:rFonts w:ascii="Garamond" w:hAnsi="Garamond"/>
          <w:lang w:val="es-MX"/>
        </w:rPr>
        <w:lastRenderedPageBreak/>
        <w:t>Historia 2, un libro de historia salvadoreña de nivel secundario publicado originalmente en 1994 por el Ministerio de Educación, sirvió, junto con su tomo complementario Historia 1, como libros de texto de historia nacional en el período de posguerra. Historia 2 analiza la guerra civil salvadoreña como una lucha de poder entre dos fuerzas extremistas de izquierda y derecha que optaron por la violencia como medio para llegar a un fin. Historia 2 invoca un tono de estricta neutralidad sobre la guerra, hasta el punto de catalogar tanto al FMLN como al ejército como agresores iguales y pintar a los civiles como inocentes atrapados en el fuego cruzado. De hecho, la Comisión de la Verdad documentó que más del 85 por ciento de todas las violaciones de derechos humanos fueron cometidas por militares y otros agentes afiliados del estado, y el 5 por ciento fueron cometidas por el FMLN (Comisión de la Verdad de las Naciones Unidas para El Salvador et al. 1993, 36).</w:t>
      </w:r>
    </w:p>
    <w:p w14:paraId="7AB60232" w14:textId="77777777" w:rsidR="0043049B" w:rsidRPr="00FB7753" w:rsidRDefault="0043049B" w:rsidP="0043049B">
      <w:pPr>
        <w:ind w:firstLine="720"/>
        <w:rPr>
          <w:rFonts w:ascii="Garamond" w:hAnsi="Garamond"/>
          <w:lang w:val="es-MX"/>
        </w:rPr>
      </w:pPr>
      <w:r w:rsidRPr="00FB7753">
        <w:rPr>
          <w:rFonts w:ascii="Garamond" w:hAnsi="Garamond"/>
          <w:lang w:val="es-MX"/>
        </w:rPr>
        <w:t>Un análisis de las imágenes de guerra en Historia 2 muestra un intento similar de neutralidad mediante la presentación de un número igual de imágenes de cada lado. A pesar de tal paridad en el número de fotos tanto del FMLN como de la participación militar en la guerra, las fotos del FMLN se centran en imágenes controvertidas como autobuses y edificios destruidos por la guerrilla y niños soldados reclutados, mientras que las fotos centradas en el ejército muestran al personal en diálogos y reuniones en lugar de cometer algunos de sus abusos más notorios. Textualmente, el libro usa un lenguaje que crea un sentido de pasividad y distancia de la responsabilidad del Estado, por ejemplo, dice 'En general, los gobiernos no han tenido la claridad suficiente para ver realmente los desafíos sociales, y cuando han tenido esa claridad,</w:t>
      </w:r>
      <w:r w:rsidR="00D46AD4" w:rsidRPr="00FB7753">
        <w:rPr>
          <w:rFonts w:ascii="Garamond" w:hAnsi="Garamond"/>
          <w:lang w:val="es-MX"/>
        </w:rPr>
        <w:t xml:space="preserve"> </w:t>
      </w:r>
      <w:r w:rsidRPr="00FB7753">
        <w:rPr>
          <w:rFonts w:ascii="Garamond" w:hAnsi="Garamond"/>
          <w:lang w:val="es-MX"/>
        </w:rPr>
        <w:t xml:space="preserve"> 'No permitió que ocurriera lo necesario' (Salvador 2009, 203). Considerar el papel del gobierno en la guerra como basado en una falta de claridad sobre los desafíos sociales, en lugar de una agenda anticomunista virulenta ligada a mantener el privilegio de la élite, ejemplifica el tono que toma el MINED a lo largo de la Historia 2. El enfoque de la neutralidad es una forma minimizar el papel del estado como agresor, y esta es una de las muchas imprecisiones que Historia Mínima corrige gentilmente.</w:t>
      </w:r>
    </w:p>
    <w:p w14:paraId="337F2DA7" w14:textId="77777777" w:rsidR="004B3E18" w:rsidRPr="00FB7753" w:rsidRDefault="004B3E18" w:rsidP="004B3E18">
      <w:pPr>
        <w:ind w:firstLine="720"/>
        <w:rPr>
          <w:rFonts w:ascii="Garamond" w:hAnsi="Garamond"/>
          <w:lang w:val="es-MX"/>
        </w:rPr>
      </w:pPr>
      <w:r w:rsidRPr="00FB7753">
        <w:rPr>
          <w:rFonts w:ascii="Garamond" w:hAnsi="Garamond"/>
          <w:lang w:val="es-MX"/>
        </w:rPr>
        <w:t>Si bien Historia Mínima mejora significativamente el discurso sobre el pasado violento en El Salvador, no mejora significativamente la visibilidad de los pueblos indígenas en la historia del país a partir de la versión ofrecida por Historia 2. En Historia 2, los indígenas salvadoreños son retratados de manera histórica equilibrada, más que como anacronismos o folclore, pero se muestra que no tienen ningún papel en la vida salvadoreña contemporánea. Cada mención de los pueblos indígenas en Historia 2 es parte de un recuento de la historia del país hasta la masacre de 1932. Mientras que Historia Mínima reconoce con mayor precisión las injusticias estructurales que enfrentan los indígenas salvadoreños a lo largo de la historia, incluida la referencia al hecho de que han sido calificados de folclóricos (Gregorio López Bernal 2011, 140), ambos libros pierden la oportunidad de reinsertar a los indígenas salvadoreños en la historia contemporánea.</w:t>
      </w:r>
    </w:p>
    <w:p w14:paraId="31073251" w14:textId="77777777" w:rsidR="004B3E18" w:rsidRPr="00FB7753" w:rsidRDefault="004B3E18" w:rsidP="004B3E18">
      <w:pPr>
        <w:ind w:firstLine="720"/>
        <w:rPr>
          <w:rFonts w:ascii="Garamond" w:hAnsi="Garamond"/>
          <w:lang w:val="es-MX"/>
        </w:rPr>
      </w:pPr>
    </w:p>
    <w:p w14:paraId="7C220E4F" w14:textId="77777777" w:rsidR="004B3E18" w:rsidRPr="00FB7753" w:rsidRDefault="004B3E18" w:rsidP="004B3E18">
      <w:pPr>
        <w:rPr>
          <w:rFonts w:ascii="Garamond" w:hAnsi="Garamond"/>
          <w:lang w:val="es-MX"/>
        </w:rPr>
      </w:pPr>
      <w:r w:rsidRPr="00FB7753">
        <w:rPr>
          <w:rFonts w:ascii="Garamond" w:hAnsi="Garamond"/>
          <w:i/>
          <w:lang w:val="es-MX"/>
        </w:rPr>
        <w:t>Educación en Guatemala:</w:t>
      </w:r>
      <w:r w:rsidRPr="00FB7753">
        <w:rPr>
          <w:rFonts w:ascii="Garamond" w:hAnsi="Garamond"/>
          <w:lang w:val="es-MX"/>
        </w:rPr>
        <w:t xml:space="preserve"> Si bien la educación de posguerra en El Salvador se concibió mediante una reforma tecnocrática de todo el sector, los actores de transición de Guatemala delinearon enfoques específicos para la reforma estructural y curricular (Marques y Bannon 2003, 8-11). La educación ocupa un lugar central en dos acuerdos de paz: el "Acuerdo sobre la identidad y los derechos de los pueblos indígenas" (categorizado como "derechos culturales") y el "Acuerdo sobre los aspectos sociales y económicos y la situación agraria" (que abarca el "desarrollo social"). Los Acuerdos enmarcan la educación como un mecanismo esencial de estabilidad democrática y económica en la posguerra, reconociéndola como un espacio para honrar la identidad cultural, facilitar la unidad nacional y una cultura de paz, y contribuir a la 'modernización económica y competitividad internacional' del país. Se imaginó que las reformas encaminadas a la equidad educativa y la competitividad global iban de la mano con la reparación de la injusticia histórica en la sociedad. Los ciudadanos de la posguerra darían forma a una nueva identidad nacional y ciudadanía democrática a </w:t>
      </w:r>
      <w:r w:rsidRPr="00FB7753">
        <w:rPr>
          <w:rFonts w:ascii="Garamond" w:hAnsi="Garamond"/>
          <w:lang w:val="es-MX"/>
        </w:rPr>
        <w:lastRenderedPageBreak/>
        <w:t>partir de su entendimiento de que, en el lenguaje de los Acuerdos, '[el] respeto y el ejercicio de los derechos políticos, culturales, económicos y espirituales de todos los guatemaltecos es la base de una nueva convivencia '.</w:t>
      </w:r>
    </w:p>
    <w:p w14:paraId="418BF871" w14:textId="77777777" w:rsidR="003E367C" w:rsidRPr="00FB7753" w:rsidRDefault="003E367C" w:rsidP="003E367C">
      <w:pPr>
        <w:rPr>
          <w:rFonts w:ascii="Garamond" w:hAnsi="Garamond"/>
          <w:lang w:val="es-MX"/>
        </w:rPr>
      </w:pPr>
      <w:r w:rsidRPr="00FB7753">
        <w:rPr>
          <w:rFonts w:ascii="Garamond" w:hAnsi="Garamond"/>
          <w:lang w:val="es-MX"/>
        </w:rPr>
        <w:tab/>
        <w:t>Cada Acuerdo de Paz traza el camino hacia el logro de un conjunto de metas declaradas: (1) acceso universal a la educación, (2) descentralización del sistema educativo, (3) mayor participación regional y local en la toma de decisiones a nivel escolar, (4) contratación y capacitación de maestros indígenas y bilingües, (5) aumento del gasto nacional, (6) un programa ampliado de becas para estudiantes indígenas y (7) apoyo para el establecimiento de una universidad maya. Entre las iniciativas de reforma sistémica, se destacan dos enfoques instruccionales particulares: EIB para niños indígenas y un programa de educación cívica que enfatizaría los derechos humanos y una cultura de paz, destinado a todos los niños guatemaltecos. El hecho de que estas pedagogías se dirijan únicamente a poblaciones de estudiantes étnicamente distintas es revelador, en el sentido de que el BEI se considera especialmente relevante para las poblaciones indígenas y no para todos los guatemaltecos después del genocidio étnico.</w:t>
      </w:r>
      <w:r w:rsidR="004D6242" w:rsidRPr="00FB7753">
        <w:rPr>
          <w:rFonts w:ascii="Garamond" w:hAnsi="Garamond"/>
          <w:lang w:val="es-MX"/>
        </w:rPr>
        <w:t xml:space="preserve"> </w:t>
      </w:r>
      <w:r w:rsidRPr="00FB7753">
        <w:rPr>
          <w:rFonts w:ascii="Garamond" w:hAnsi="Garamond"/>
          <w:lang w:val="es-MX"/>
        </w:rPr>
        <w:t>La reforma curricular complementaría estas nuevas pedagogías, comenzando con la eliminación y estereotipos de género, y luego hacer esfuerzos para integrar los conceptos indígenas y el respeto por la diversidad cultural y la igualdad de género en el plan de estudios (Maxwell 2009).</w:t>
      </w:r>
    </w:p>
    <w:p w14:paraId="31C6D7C0" w14:textId="77777777" w:rsidR="003E367C" w:rsidRPr="00FB7753" w:rsidRDefault="003E367C" w:rsidP="003E367C">
      <w:pPr>
        <w:ind w:firstLine="720"/>
        <w:rPr>
          <w:rFonts w:ascii="Garamond" w:hAnsi="Garamond"/>
          <w:lang w:val="es-MX"/>
        </w:rPr>
      </w:pPr>
      <w:r w:rsidRPr="00FB7753">
        <w:rPr>
          <w:rFonts w:ascii="Garamond" w:hAnsi="Garamond"/>
          <w:lang w:val="es-MX"/>
        </w:rPr>
        <w:t xml:space="preserve">Dadas las contiendas políticas en curso para controlar la narrativa histórica de Guatemala, uno podría esperar que el plan de estudios escolar refleje y defienda la historia del estado de los militares valientes y leales que rescatan al estado de una inminente caída en el comunismo. Aunque hay destellos de este pasado heroico, el Ministerio de Educación ha sido objeto de ataques públicos más a menudo por una cobertura insuficiente del pasado que por politizarlo en el currículo escolar (ver Bellino 2014). Silenciar pasados </w:t>
      </w:r>
      <w:r w:rsidRPr="00FB7753">
        <w:rPr>
          <w:rFonts w:ascii="Times New Roman" w:hAnsi="Times New Roman" w:cs="Times New Roman"/>
          <w:lang w:val="es-MX"/>
        </w:rPr>
        <w:t>​​</w:t>
      </w:r>
      <w:r w:rsidRPr="00FB7753">
        <w:rPr>
          <w:rFonts w:ascii="Garamond" w:hAnsi="Garamond"/>
          <w:lang w:val="es-MX"/>
        </w:rPr>
        <w:t>divisivos es una estrategia común de educadores y legisladores de todo el mundo, dados los desafíos políticos y pedagógicos inherentes, especialmente en contextos frágiles aún marcados por la violencia y la inestabilidad política (Cole y Murphy 2007). Los análisis de contenido de los libros de texto de estudios sociales guatemaltecos han revelado varios tropos narrativos recurrentes, que expresan el pasado violento dentro de un conjunto de historias familiares (Bellino 2014, 136-139). El primero de estos tropos explica la guerra como un conflicto entre "dos demonios", una lucha entre el estado y las fuerzas guerrilleras, dos partidos igualmente emparejados que son conjuntamente responsables de la violencia y la destrucción que sufrieron la nación. Este tropo ha sido identificado en otros contextos latinoamericanos y criticado por su eliminación tanto de la responsabilidad estatal como de la agencia política de los grupos insurgentes que resisten un régimen injusto, racionalizando en lugar de desacreditar el autoritarismo (ver Jelin 2003, 53-55).</w:t>
      </w:r>
    </w:p>
    <w:p w14:paraId="344FAC47" w14:textId="77777777" w:rsidR="003E367C" w:rsidRPr="00FB7753" w:rsidRDefault="003E367C" w:rsidP="003E367C">
      <w:pPr>
        <w:ind w:firstLine="720"/>
        <w:rPr>
          <w:rFonts w:ascii="Garamond" w:hAnsi="Garamond"/>
          <w:lang w:val="es-MX"/>
        </w:rPr>
      </w:pPr>
      <w:r w:rsidRPr="00FB7753">
        <w:rPr>
          <w:rFonts w:ascii="Garamond" w:hAnsi="Garamond"/>
          <w:lang w:val="es-MX"/>
        </w:rPr>
        <w:t>El segundo tropo es una historia familiar de progreso histórico que sitúa la guerra como un punto bajo del que se ha recuperado la nación guatemalteca. Las narrativas del progreso son notoriamente criticadas por su inexactitud histórica (Carretero 2011) y por excluir las vidas de aquellos que no se ajustan al arquetipo (M. Levinson 2012, 116-137). El tercer tropo es más particular de Guatemala en el sentido de que el conflicto armado se describe como una lucha por el poder del Estado, con dimensiones étnicas poco claras.</w:t>
      </w:r>
    </w:p>
    <w:p w14:paraId="6F90FD3A" w14:textId="77777777" w:rsidR="003E367C" w:rsidRPr="00FB7753" w:rsidRDefault="003E367C" w:rsidP="003E367C">
      <w:pPr>
        <w:ind w:firstLine="720"/>
        <w:rPr>
          <w:rFonts w:ascii="Garamond" w:hAnsi="Garamond"/>
          <w:lang w:val="es-MX"/>
        </w:rPr>
      </w:pPr>
      <w:r w:rsidRPr="00FB7753">
        <w:rPr>
          <w:rFonts w:ascii="Garamond" w:hAnsi="Garamond"/>
          <w:lang w:val="es-MX"/>
        </w:rPr>
        <w:t xml:space="preserve">Las luchas por la identidad y los derechos indígenas se presentan con mayor frecuencia como una consecuencia del conflicto armado, más que como un precursor o impulsor de la violencia. Los textos curriculares señalan de manera rutinaria que los pueblos indígenas sufrieron en gran mayoría durante el conflicto, aunque rara vez hay una discusión explícita sobre el papel de la etnia en la escalada del conflicto, ni una mención de que la CEH determinó que las acciones del estado equivalieron a genocidio por motivos de etnia (Bellino 2014, 136-139). Mientras tanto, los textos frecuentemente enfatizan los resultados positivos de la guerra para las poblaciones indígenas y las nuevas perspectivas para reconocer a Guatemala como una democracia multicultural. Por ejemplo, los estudiantes aprenden que los doce Acuerdos de Paz "se enfocan en diferentes aspectos </w:t>
      </w:r>
      <w:r w:rsidRPr="00FB7753">
        <w:rPr>
          <w:rFonts w:ascii="Garamond" w:hAnsi="Garamond"/>
          <w:lang w:val="es-MX"/>
        </w:rPr>
        <w:lastRenderedPageBreak/>
        <w:t xml:space="preserve">que favorecen al pueblo maya" (Contreras et al. 2008, 187). El orgullo cultural es uno de los resultados positivos de la guerra, al que tienen acceso los indígenas guatemaltecos: 'Los pueblos indígenas han tenido un cambio en la autoestima, porque han pasado de identificarse a sí mismos como "indios" (con toda la discriminación envuelta en ese término) como se les conocía en el pasado, a autoidentificarse como </w:t>
      </w:r>
      <w:r w:rsidR="00FB094F" w:rsidRPr="00FB7753">
        <w:rPr>
          <w:rFonts w:ascii="Garamond" w:hAnsi="Garamond"/>
          <w:lang w:val="es-MX"/>
        </w:rPr>
        <w:t>M</w:t>
      </w:r>
      <w:r w:rsidRPr="00FB7753">
        <w:rPr>
          <w:rFonts w:ascii="Garamond" w:hAnsi="Garamond"/>
          <w:lang w:val="es-MX"/>
        </w:rPr>
        <w:t>ayas, que es lo que realmente son '(ibid., 185). Según estas narrativas, los derechos indígenas fueron el resultado de la guerra, pero su negación y violación sistemáticas tuvieron poco que ver con los agravios históricos que contribuyeron al conflicto armado o su escalada.</w:t>
      </w:r>
    </w:p>
    <w:p w14:paraId="284F8751" w14:textId="77777777" w:rsidR="002F2802" w:rsidRPr="00FB7753" w:rsidRDefault="002F2802" w:rsidP="002F2802">
      <w:pPr>
        <w:ind w:firstLine="720"/>
        <w:rPr>
          <w:rFonts w:ascii="Garamond" w:hAnsi="Garamond"/>
          <w:lang w:val="es-MX"/>
        </w:rPr>
      </w:pPr>
      <w:r w:rsidRPr="00FB7753">
        <w:rPr>
          <w:rFonts w:ascii="Garamond" w:hAnsi="Garamond"/>
          <w:lang w:val="es-MX"/>
        </w:rPr>
        <w:t>Como en todos los contextos educativos, el currículo formal solo puede ofrecer una explicación parcial. La investigación etnográfica demuestra que los maestros median estos tropos históricos en su instrucción, a veces resistiéndolos y en otros casos reforzándolos (Bellino 2015; 2016; 2017). A pesar de esta diversidad en la práctica del aula, las observaciones basadas en la escuela apoyan estudios anteriores (Oglesby 2007a; 2007b) de que las discusiones sobre las negociaciones de paz de posguerra en entornos educativos formales a menudo reciben más tiempo de instrucción que la consideración de las dinámicas, causas o consecuencias del conflicto.</w:t>
      </w:r>
    </w:p>
    <w:p w14:paraId="0E0701F9" w14:textId="77777777" w:rsidR="002F2802" w:rsidRPr="00FB7753" w:rsidRDefault="002F2802" w:rsidP="002F2802">
      <w:pPr>
        <w:ind w:firstLine="720"/>
        <w:rPr>
          <w:rFonts w:ascii="Garamond" w:hAnsi="Garamond"/>
          <w:lang w:val="es-MX"/>
        </w:rPr>
      </w:pPr>
    </w:p>
    <w:p w14:paraId="3DE3753D" w14:textId="77777777" w:rsidR="002F2802" w:rsidRPr="00FB7753" w:rsidRDefault="002F2802" w:rsidP="002F2802">
      <w:pPr>
        <w:ind w:firstLine="720"/>
        <w:rPr>
          <w:rFonts w:ascii="Garamond" w:hAnsi="Garamond"/>
          <w:lang w:val="es-MX"/>
        </w:rPr>
      </w:pPr>
    </w:p>
    <w:p w14:paraId="5A157F73" w14:textId="77777777" w:rsidR="002F2802" w:rsidRPr="00FB7753" w:rsidRDefault="002F2802" w:rsidP="002F2802">
      <w:pPr>
        <w:rPr>
          <w:rFonts w:ascii="Garamond" w:hAnsi="Garamond"/>
          <w:b/>
          <w:lang w:val="es-MX"/>
        </w:rPr>
      </w:pPr>
      <w:r w:rsidRPr="00FB7753">
        <w:rPr>
          <w:rFonts w:ascii="Garamond" w:hAnsi="Garamond"/>
          <w:b/>
          <w:lang w:val="es-MX"/>
        </w:rPr>
        <w:t>Contrahistorias de la comunidad</w:t>
      </w:r>
    </w:p>
    <w:p w14:paraId="05C733E6" w14:textId="77777777" w:rsidR="002F2802" w:rsidRPr="00FB7753" w:rsidRDefault="002F2802" w:rsidP="002F2802">
      <w:pPr>
        <w:ind w:firstLine="720"/>
        <w:rPr>
          <w:rFonts w:ascii="Garamond" w:hAnsi="Garamond"/>
          <w:lang w:val="es-MX"/>
        </w:rPr>
      </w:pPr>
    </w:p>
    <w:p w14:paraId="461EBF38" w14:textId="77777777" w:rsidR="002F2802" w:rsidRPr="00FB7753" w:rsidRDefault="002F2802" w:rsidP="002F2802">
      <w:pPr>
        <w:ind w:firstLine="720"/>
        <w:rPr>
          <w:rFonts w:ascii="Garamond" w:hAnsi="Garamond"/>
          <w:lang w:val="es-MX"/>
        </w:rPr>
      </w:pPr>
      <w:r w:rsidRPr="00FB7753">
        <w:rPr>
          <w:rFonts w:ascii="Garamond" w:hAnsi="Garamond"/>
          <w:lang w:val="es-MX"/>
        </w:rPr>
        <w:t>Las historias oficiales en ambos países se ven desafiadas por contra-narrativas locales impulsadas por la comunidad. Quienes participan en proyectos de memoria pública están enseñando y aprendiendo sobre el significado histórico de los actores indígenas en el pasado violento. Comprometerse con estos proyectos prepara mejor a las personas para criticar la ausencia indígena en una variedad de espacios curriculares, así como para exigir la inserción de actores indígenas en los discursos de ciudadanía del siglo XXI. Sin embargo, estas contranarrativas a menudo no llegan a la mayoría de la población. Para que las contrahistorias promuevan incluso la inclusión limitada que los estados democráticos y multiculturales están preparados para ofrecer, estas iniciativas deben encontrar formas de llegar a un público más amplio.</w:t>
      </w:r>
    </w:p>
    <w:p w14:paraId="249A97D2" w14:textId="77777777" w:rsidR="00515E85" w:rsidRPr="00FB7753" w:rsidRDefault="00515E85" w:rsidP="002F2802">
      <w:pPr>
        <w:ind w:firstLine="720"/>
        <w:rPr>
          <w:rFonts w:ascii="Garamond" w:hAnsi="Garamond"/>
          <w:lang w:val="es-MX"/>
        </w:rPr>
      </w:pPr>
    </w:p>
    <w:p w14:paraId="59BF09E9" w14:textId="77777777" w:rsidR="002F2802" w:rsidRPr="00FB7753" w:rsidRDefault="002F2802" w:rsidP="00515E85">
      <w:pPr>
        <w:rPr>
          <w:rFonts w:ascii="Garamond" w:hAnsi="Garamond"/>
          <w:lang w:val="es-MX"/>
        </w:rPr>
      </w:pPr>
      <w:r w:rsidRPr="00FB7753">
        <w:rPr>
          <w:rFonts w:ascii="Garamond" w:hAnsi="Garamond"/>
          <w:i/>
          <w:lang w:val="es-MX"/>
        </w:rPr>
        <w:t>Contranarrativas en El Salvador:</w:t>
      </w:r>
      <w:r w:rsidRPr="00FB7753">
        <w:rPr>
          <w:rFonts w:ascii="Garamond" w:hAnsi="Garamond"/>
          <w:lang w:val="es-MX"/>
        </w:rPr>
        <w:t xml:space="preserve"> La reinserción de los pueblos indígenas en las conversaciones sobre la historia en El Salvador ha ido creciendo lentamente durante la última década a medida que los líderes de las comunidades indígenas han encontrado aliados en una variedad de instituciones. En esta sección se analizan tres espacios principales de contra-narrativas: los esfuerzos de incidencia del Consejo Coordinador Nacional Indígena Salvadoreño (CCNIS), los proyectos educativos del Museo de la Palabra y la Imagen (MUPI) y la programación bilingüe promulgada en la escuela primaria 'Mario Calvo Marroquín. </w:t>
      </w:r>
      <w:r w:rsidR="00806E99" w:rsidRPr="00FB7753">
        <w:rPr>
          <w:rFonts w:ascii="Garamond" w:hAnsi="Garamond"/>
          <w:lang w:val="es-MX"/>
        </w:rPr>
        <w:t>“</w:t>
      </w:r>
      <w:r w:rsidR="00EC1557" w:rsidRPr="00FB7753">
        <w:rPr>
          <w:rFonts w:ascii="Garamond" w:hAnsi="Garamond"/>
          <w:lang w:val="es-MX"/>
        </w:rPr>
        <w:t>A</w:t>
      </w:r>
      <w:r w:rsidRPr="00FB7753">
        <w:rPr>
          <w:rFonts w:ascii="Garamond" w:hAnsi="Garamond"/>
          <w:lang w:val="es-MX"/>
        </w:rPr>
        <w:t xml:space="preserve"> diferencia de Guatemala, donde las contra-narrativas han resultado, en algunos casos, en la producción de textos alternativos que desafían el paradigma dominante, en El Salvador, las contra-narrativas asumen el papel de conciencia de la diversidad a través de recordatorios de la existencia indígena.</w:t>
      </w:r>
    </w:p>
    <w:p w14:paraId="10EC1972" w14:textId="77777777" w:rsidR="00A16CE0" w:rsidRPr="00FB7753" w:rsidRDefault="00A16CE0" w:rsidP="00A16CE0">
      <w:pPr>
        <w:rPr>
          <w:rFonts w:ascii="Garamond" w:hAnsi="Garamond"/>
          <w:lang w:val="es-MX"/>
        </w:rPr>
      </w:pPr>
      <w:r w:rsidRPr="00FB7753">
        <w:rPr>
          <w:rFonts w:ascii="Garamond" w:hAnsi="Garamond"/>
          <w:lang w:val="es-MX"/>
        </w:rPr>
        <w:tab/>
        <w:t>El primer espacio de representación indígena considerado aquí es CCNIS, la principal organización de defensa de los derechos indígenas en el país. De hecho, CCNIS fue responsable de organizar la campaña que impulsó a la Asamblea Legislativa salvadoreña a insertar el reconocimiento de los pueblos indígenas en el artículo 63 de la Constitución. CCNIS continúa con un espectro de actividades, incluida la petición política de derechos, el fortalecimiento cultural y la preservación. Por ejemplo, CCNIS presiona periódicamente a la Asamblea salvadoreña para que ratifique el Convenio 169 de la Organización Internacional del Trabajo, que protege los derechos de los pueblos indígenas, ya que la victoria con el artículo 63 allana el camino para esa campaña.</w:t>
      </w:r>
    </w:p>
    <w:p w14:paraId="4C98F02C" w14:textId="77777777" w:rsidR="00A16CE0" w:rsidRPr="00FB7753" w:rsidRDefault="00A16CE0" w:rsidP="00A16CE0">
      <w:pPr>
        <w:rPr>
          <w:rFonts w:ascii="Garamond" w:hAnsi="Garamond"/>
          <w:lang w:val="es-MX"/>
        </w:rPr>
      </w:pPr>
      <w:r w:rsidRPr="00FB7753">
        <w:rPr>
          <w:rFonts w:ascii="Garamond" w:hAnsi="Garamond"/>
          <w:lang w:val="es-MX"/>
        </w:rPr>
        <w:lastRenderedPageBreak/>
        <w:t>La producción de medios alternativos ha sido una herramienta de CCNIS, que patrocinó la producción de una impactante película con el cineasta salvadoreño Mario Dubón, Los Herederos de Cushcatan o The Heirs of Cushcatan, una región indígena de El Salvador. Entre otra documentación sobre la identidad indígena, la película intercala imágenes de indígenas salvadoreños hablando sobre aspectos de su cultura con imágenes de jóvenes salvadoreños que niegan la presencia de indígenas en el país (Dubón 2011). Destacando la brecha entre la realidad multicultural y los estereotipos aprendidos sobre el mestizaje como única identidad étnica en el país, la película ofrece una contranarrativa a la negación de la presencia indígena en el país. Aunque hasta ahora solo ha sido accesible en entornos educativos no formales como proyecciones comunitarias y a través de Internet, la película se ha compartido ampliamente a través de Vimeo y Facebook entre los salvadoreños y también ha comenzado a recorrer festivales de cine para las diásporas salvadoreñas en los Estados Unidos. pero al momento de escribir estas líneas no tiene subtítulos en inglés.</w:t>
      </w:r>
    </w:p>
    <w:p w14:paraId="2242A5F2" w14:textId="77777777" w:rsidR="00A16CE0" w:rsidRPr="00FB7753" w:rsidRDefault="00A16CE0" w:rsidP="00A16CE0">
      <w:pPr>
        <w:rPr>
          <w:rFonts w:ascii="Garamond" w:hAnsi="Garamond"/>
          <w:lang w:val="es-MX"/>
        </w:rPr>
      </w:pPr>
      <w:r w:rsidRPr="00FB7753">
        <w:rPr>
          <w:rFonts w:ascii="Garamond" w:hAnsi="Garamond"/>
          <w:lang w:val="es-MX"/>
        </w:rPr>
        <w:tab/>
        <w:t>El segundo espacio salvadoreño considerado aquí es MUPI. Con sede en San Salvador, MUPI ha estado a la vanguardia de las iniciativas de la sociedad civil para construir contra-narrativas sobre una variedad de temas que incluyen representaciones de la guerra civil y también de los pueblos indígenas. En lugar de esperar a que el sector formal se ponga al día, MUPI ha estado desarrollando programas educativos sobre derechos humanos, cultura indígena e historia de la guerra para que los salvadoreños accedan en varios formatos. Los esfuerzos del MUPI por recuperar recuerdos de la violencia y la cultura indígena forman parte del movimiento para crear 'historia desde abajo', en palabras del fundador del MUPI y ex militante del FMLN y periodista radial Carlos Henriquez Consalvi, conocido por su nom de guerre, 'Santiago'. (Cañada 2010, 11). Esto incluye la ardua tarea de integrar las historias subalternas en el discurso nacional, donde se convierten en opciones legítimas para comprender el pasado, en lugar de un subconjunto marginado que se vuelve continuamente silencioso (ibid.). Organizaciones como MUPI intentan crear alternativas a la historia generada por el estado a través del alcance educativo, visitas escolares a sus exhibiciones de museos, películas, literatura y foros comunitarios.3 Sin embargo, solo recientemente MUPI ha asegurado el apoyo del MINED para excursiones escolares al museo, y cada vez el conocimiento de esta nueva historia desde abajo sigue siendo un proyecto a largo plazo. De hecho, la financiación es una tensión constante para MUPI, que debe responder a las prioridades de una serie de donantes públicos y privados para mantenerse a flote (Becerra 2017, 218), como es el caso de muchos proyectos de educación popular.</w:t>
      </w:r>
    </w:p>
    <w:p w14:paraId="71E50635" w14:textId="77777777" w:rsidR="00A16CE0" w:rsidRPr="00FB7753" w:rsidRDefault="00A16CE0" w:rsidP="00A16CE0">
      <w:pPr>
        <w:ind w:firstLine="720"/>
        <w:rPr>
          <w:rFonts w:ascii="Garamond" w:hAnsi="Garamond"/>
          <w:lang w:val="es-MX"/>
        </w:rPr>
      </w:pPr>
      <w:r w:rsidRPr="00FB7753">
        <w:rPr>
          <w:rFonts w:ascii="Garamond" w:hAnsi="Garamond"/>
          <w:lang w:val="es-MX"/>
        </w:rPr>
        <w:t xml:space="preserve">Además de los medios convencionales como exhibiciones y archivos, MUPI desarrolló en la década de 2000 una forma interactiva para que los escolares y los miembros de la comunidad reconozcan, utilicen y aprecien el conocimiento indígena. Los Izalcos es un juego de mesa basado en educar a los jugadores sobre la cultura indígena, y lleva el nombre del grupo </w:t>
      </w:r>
      <w:r w:rsidR="004D6242" w:rsidRPr="00FB7753">
        <w:rPr>
          <w:rFonts w:ascii="Garamond" w:hAnsi="Garamond"/>
          <w:lang w:val="es-MX"/>
        </w:rPr>
        <w:t>N</w:t>
      </w:r>
      <w:r w:rsidRPr="00FB7753">
        <w:rPr>
          <w:rFonts w:ascii="Garamond" w:hAnsi="Garamond"/>
          <w:lang w:val="es-MX"/>
        </w:rPr>
        <w:t>ahua que fue blanco de los militares en la masacre de 1932. El juego se juega con piezas que se mueven a partir de respuestas a preguntas sobre la cultura indígena, los mitos y las relaciones con la tierra (Becerra 2013, 7). La trivia se enumera en una pila de tarjetas, pero también se presenta en una guía de estudio que los jugadores, o su maestro u otros facilitadores adultos, pueden ayudar a leer y repasar antes de comenzar el juego.</w:t>
      </w:r>
    </w:p>
    <w:p w14:paraId="7A2C2286" w14:textId="77777777" w:rsidR="00A16CE0" w:rsidRPr="00FB7753" w:rsidRDefault="00A16CE0" w:rsidP="00A16CE0">
      <w:pPr>
        <w:ind w:firstLine="720"/>
        <w:rPr>
          <w:rFonts w:ascii="Garamond" w:hAnsi="Garamond"/>
          <w:lang w:val="es-MX"/>
        </w:rPr>
      </w:pPr>
      <w:r w:rsidRPr="00FB7753">
        <w:rPr>
          <w:rFonts w:ascii="Garamond" w:hAnsi="Garamond"/>
          <w:lang w:val="es-MX"/>
        </w:rPr>
        <w:t xml:space="preserve">Al recompensar el conocimiento sobre la cultura indígena a través del andamiaje de preguntas del juego, la intención de MUPI al producir Los Izalcos es hacer que sea `` genial '' estar informado sobre la cultura </w:t>
      </w:r>
      <w:r w:rsidR="004D6242" w:rsidRPr="00FB7753">
        <w:rPr>
          <w:rFonts w:ascii="Garamond" w:hAnsi="Garamond"/>
          <w:lang w:val="es-MX"/>
        </w:rPr>
        <w:t>N</w:t>
      </w:r>
      <w:r w:rsidRPr="00FB7753">
        <w:rPr>
          <w:rFonts w:ascii="Garamond" w:hAnsi="Garamond"/>
          <w:lang w:val="es-MX"/>
        </w:rPr>
        <w:t>ahua, y el juego sirve como una herramienta educativa informal que crea una contranarrativa</w:t>
      </w:r>
      <w:r w:rsidR="00FB094F" w:rsidRPr="00FB7753">
        <w:rPr>
          <w:rFonts w:ascii="Garamond" w:hAnsi="Garamond"/>
          <w:lang w:val="es-MX"/>
        </w:rPr>
        <w:t xml:space="preserve"> </w:t>
      </w:r>
      <w:r w:rsidRPr="00FB7753">
        <w:rPr>
          <w:rFonts w:ascii="Garamond" w:hAnsi="Garamond"/>
          <w:lang w:val="es-MX"/>
        </w:rPr>
        <w:t xml:space="preserve">a la eliminación generalizada por parte del estado de la cultura indígena de los planes de estudio generales. Las oportunidades que se brindan a los niños para que jueguen a través de visitas o juegos que se han donado a la escuela integran aún más el conocimiento de personajes o información histórica indígena. Sin embargo, hasta la fecha no se han recopilado datos </w:t>
      </w:r>
      <w:r w:rsidRPr="00FB7753">
        <w:rPr>
          <w:rFonts w:ascii="Garamond" w:hAnsi="Garamond"/>
          <w:lang w:val="es-MX"/>
        </w:rPr>
        <w:lastRenderedPageBreak/>
        <w:t>sobre el impacto real en la inclusión o la comprensión de la cultura indígena para las personas que juegan.</w:t>
      </w:r>
    </w:p>
    <w:p w14:paraId="0A3577E1" w14:textId="77777777" w:rsidR="00A16CE0" w:rsidRPr="00FB7753" w:rsidRDefault="00A16CE0" w:rsidP="00A16CE0">
      <w:pPr>
        <w:ind w:firstLine="720"/>
        <w:rPr>
          <w:rFonts w:ascii="Garamond" w:hAnsi="Garamond"/>
          <w:lang w:val="es-MX"/>
        </w:rPr>
      </w:pPr>
      <w:r w:rsidRPr="00FB7753">
        <w:rPr>
          <w:rFonts w:ascii="Garamond" w:hAnsi="Garamond"/>
          <w:lang w:val="es-MX"/>
        </w:rPr>
        <w:t>En tercer lugar, las contranarrativas también se están integrando lentamente en la educación formal en algunas localidades. En la ciudad de Izalco, en Sonsonate, en el</w:t>
      </w:r>
      <w:r w:rsidR="004D6242" w:rsidRPr="00FB7753">
        <w:rPr>
          <w:rFonts w:ascii="Garamond" w:hAnsi="Garamond"/>
          <w:lang w:val="es-MX"/>
        </w:rPr>
        <w:t xml:space="preserve"> O</w:t>
      </w:r>
      <w:r w:rsidRPr="00FB7753">
        <w:rPr>
          <w:rFonts w:ascii="Garamond" w:hAnsi="Garamond"/>
          <w:lang w:val="es-MX"/>
        </w:rPr>
        <w:t xml:space="preserve">este de El Salvador, la escuela primaria "Mario Calvo Marroquín" se ha convertido en una escuela insignia para proyectos regionales que introducen un plan de estudios intercultural bilingüe dirigido por la comunidad. A diferencia de EIB en Guatemala, que está dirigido principalmente a la instrucción en la lengua materna, los Izalqueños están aprendiendo </w:t>
      </w:r>
      <w:r w:rsidR="004D6242" w:rsidRPr="00FB7753">
        <w:rPr>
          <w:rFonts w:ascii="Garamond" w:hAnsi="Garamond"/>
          <w:lang w:val="es-MX"/>
        </w:rPr>
        <w:t>N</w:t>
      </w:r>
      <w:r w:rsidRPr="00FB7753">
        <w:rPr>
          <w:rFonts w:ascii="Garamond" w:hAnsi="Garamond"/>
          <w:lang w:val="es-MX"/>
        </w:rPr>
        <w:t xml:space="preserve">áhuat como su segundo idioma. Mejor caracterizado como lengua heredada que como lengua materna, la lengua </w:t>
      </w:r>
      <w:r w:rsidR="004D6242" w:rsidRPr="00FB7753">
        <w:rPr>
          <w:rFonts w:ascii="Garamond" w:hAnsi="Garamond"/>
          <w:lang w:val="es-MX"/>
        </w:rPr>
        <w:t>N</w:t>
      </w:r>
      <w:r w:rsidRPr="00FB7753">
        <w:rPr>
          <w:rFonts w:ascii="Garamond" w:hAnsi="Garamond"/>
          <w:lang w:val="es-MX"/>
        </w:rPr>
        <w:t>áhuat</w:t>
      </w:r>
      <w:r w:rsidR="004D6242" w:rsidRPr="00FB7753">
        <w:rPr>
          <w:rFonts w:ascii="Garamond" w:hAnsi="Garamond"/>
          <w:lang w:val="es-MX"/>
        </w:rPr>
        <w:t>l</w:t>
      </w:r>
      <w:r w:rsidRPr="00FB7753">
        <w:rPr>
          <w:rFonts w:ascii="Garamond" w:hAnsi="Garamond"/>
          <w:lang w:val="es-MX"/>
        </w:rPr>
        <w:t>, además de las iniciativas de apreciación cultural indígena en la escuela como el 'Día de las Raíces', han obtenido un financiamiento y apoyo mínimos del MINED, pero siguen siendo en su mayoría liderados y financiados por la comunidad (Ama de Chile 2010). Iniciada por la anterior directora de la escuela Juliana Ama de Chile, nieta de uno de los líderes indígenas centrales del levantamiento de 1932, la escuela Marroquín sirve como un experimento local en la reapropiación de espacios educativos formales para enseñar el idioma y otras habilidades culturales prácticas que conectarán los locales</w:t>
      </w:r>
      <w:r w:rsidR="004D6242" w:rsidRPr="00FB7753">
        <w:rPr>
          <w:rFonts w:ascii="Garamond" w:hAnsi="Garamond"/>
          <w:lang w:val="es-MX"/>
        </w:rPr>
        <w:t xml:space="preserve"> </w:t>
      </w:r>
      <w:r w:rsidRPr="00FB7753">
        <w:rPr>
          <w:rFonts w:ascii="Garamond" w:hAnsi="Garamond"/>
          <w:lang w:val="es-MX"/>
        </w:rPr>
        <w:t xml:space="preserve"> jóvenes a su herencia</w:t>
      </w:r>
      <w:r w:rsidR="004D6242" w:rsidRPr="00FB7753">
        <w:rPr>
          <w:rFonts w:ascii="Garamond" w:hAnsi="Garamond"/>
          <w:lang w:val="es-MX"/>
        </w:rPr>
        <w:t>.</w:t>
      </w:r>
      <w:r w:rsidRPr="00FB7753">
        <w:rPr>
          <w:rFonts w:ascii="Garamond" w:hAnsi="Garamond"/>
          <w:lang w:val="es-MX"/>
        </w:rPr>
        <w:t xml:space="preserve"> (Gellman 2017, 138).</w:t>
      </w:r>
    </w:p>
    <w:p w14:paraId="40449654" w14:textId="77777777" w:rsidR="00CC287D" w:rsidRPr="00FB7753" w:rsidRDefault="00CC287D" w:rsidP="00CC287D">
      <w:pPr>
        <w:ind w:firstLine="720"/>
        <w:rPr>
          <w:rFonts w:ascii="Garamond" w:hAnsi="Garamond"/>
          <w:lang w:val="es-MX"/>
        </w:rPr>
      </w:pPr>
      <w:r w:rsidRPr="00FB7753">
        <w:rPr>
          <w:rFonts w:ascii="Garamond" w:hAnsi="Garamond"/>
          <w:lang w:val="es-MX"/>
        </w:rPr>
        <w:t>Guatemala: A diferencia de El Salvador, hay más visibilidad y reconocimiento de los pueblos indígenas en Guatemala. Sin embargo, la esfera pública permanece polarizada en interpretaciones históricas y demandas de justicia por la violencia pasada, dimensiones críticas de la identidad indígena. En respuesta al borrado de larga data de la historia estatal de represión y discriminación hacia los pueblos indígenas, las comunidades indígenas han moldeado activamente contranarrativas del pasado y el presente, basándose en las comunidades de memoria local y las epistemologías indígenas. Estas contranarrativas tienen la intención de servir una variedad de propósitos, incluida la reconciliación local y la promoción de una identidad cultural compartida y el orgullo por la cultura y el idioma indígenas. En algunos casos, estas iniciativas apuntan activamente a expandir, o escribir en contra, las narrativas históricas dominantes y las representaciones de los pueblos indígenas. Es importante destacar que cuando la guerra civil se describe en estos textos, ya sea escrita o mostrada visualmente, las dimensiones étnicas de la violencia pasan a primer plano.</w:t>
      </w:r>
    </w:p>
    <w:p w14:paraId="2247F912" w14:textId="77777777" w:rsidR="00CC287D" w:rsidRPr="00FB7753" w:rsidRDefault="00CC287D" w:rsidP="00CC287D">
      <w:pPr>
        <w:ind w:firstLine="720"/>
        <w:rPr>
          <w:rFonts w:ascii="Garamond" w:hAnsi="Garamond"/>
          <w:lang w:val="es-MX"/>
        </w:rPr>
      </w:pPr>
      <w:r w:rsidRPr="00FB7753">
        <w:rPr>
          <w:rFonts w:ascii="Garamond" w:hAnsi="Garamond"/>
          <w:lang w:val="es-MX"/>
        </w:rPr>
        <w:t>El museo comunitario de Rabinal es un ejemplo bien conocido de contranarrativa de acceso público, escrito por una comunidad indígena y que expresa el enorme sufrimiento que experimentaron los mayas achí durante la guerra (Fromm, Golding y Rekdal 2014). La comunidad buscó una mayor difusión publicando Oj K'aslik: Estamos vivos (Recuperación de la memoria histórica de Rabinal / Recuperación de la memoria histórica de Rabinal 2003), un libro que narra la brutal masacre de pueblos indígenas en Rabinal.</w:t>
      </w:r>
      <w:r w:rsidR="004D6242" w:rsidRPr="00FB7753">
        <w:rPr>
          <w:rFonts w:ascii="Garamond" w:hAnsi="Garamond"/>
          <w:lang w:val="es-MX"/>
        </w:rPr>
        <w:t xml:space="preserve"> </w:t>
      </w:r>
      <w:r w:rsidRPr="00FB7753">
        <w:rPr>
          <w:rFonts w:ascii="Garamond" w:hAnsi="Garamond"/>
          <w:lang w:val="es-MX"/>
        </w:rPr>
        <w:t>4 La organización del texto se hace eco y se basa en el informe de la Comisión de la Verdad, que delinea varios abusos a los derechos humanos, demuestra la responsabilidad del Estado por el genocidio étnico y enfatiza que la experiencia del sufrimiento indígena se remonta a siglos antes de la guerra.</w:t>
      </w:r>
    </w:p>
    <w:p w14:paraId="3E2AF83D" w14:textId="77777777" w:rsidR="0052260B" w:rsidRPr="00FB7753" w:rsidRDefault="0052260B" w:rsidP="0052260B">
      <w:pPr>
        <w:ind w:firstLine="720"/>
        <w:rPr>
          <w:rFonts w:ascii="Garamond" w:hAnsi="Garamond"/>
          <w:lang w:val="es-MX"/>
        </w:rPr>
      </w:pPr>
      <w:r w:rsidRPr="00FB7753">
        <w:rPr>
          <w:rFonts w:ascii="Garamond" w:hAnsi="Garamond"/>
          <w:lang w:val="es-MX"/>
        </w:rPr>
        <w:t xml:space="preserve">En un proyecto de memoria similar dirigido por la comunidad, Nuestra historia, Nuestra Memoria, una serie de textos que destacan las historias locales de San Juan Comalapa, San Martín Jilotepéque y San José Poaquil, los factores sociales y estructurales ausentes de las narrativas generadas por el estado también son considerados centrales a la guerra: 'La ocupación concentrada de la tierra entre unos pocos, la explotación de mano de obra barata en las plantaciones de la </w:t>
      </w:r>
      <w:r w:rsidR="004D6242" w:rsidRPr="00FB7753">
        <w:rPr>
          <w:rFonts w:ascii="Garamond" w:hAnsi="Garamond"/>
          <w:lang w:val="es-MX"/>
        </w:rPr>
        <w:t>C</w:t>
      </w:r>
      <w:r w:rsidRPr="00FB7753">
        <w:rPr>
          <w:rFonts w:ascii="Garamond" w:hAnsi="Garamond"/>
          <w:lang w:val="es-MX"/>
        </w:rPr>
        <w:t xml:space="preserve">osta </w:t>
      </w:r>
      <w:r w:rsidR="004D6242" w:rsidRPr="00FB7753">
        <w:rPr>
          <w:rFonts w:ascii="Garamond" w:hAnsi="Garamond"/>
          <w:lang w:val="es-MX"/>
        </w:rPr>
        <w:t>S</w:t>
      </w:r>
      <w:r w:rsidRPr="00FB7753">
        <w:rPr>
          <w:rFonts w:ascii="Garamond" w:hAnsi="Garamond"/>
          <w:lang w:val="es-MX"/>
        </w:rPr>
        <w:t>ur, la discriminación, el racismo, el abandono total de las poblaciones indígenas, demuestran claramente un Estado construido en la fundamento de excluir a la mayoría y representar uno de los factores que originaron el conflicto armado interno ”(Curruchich Cúmez 2006, 48). No hay duda entre estos autores de que la guerra fue de naturaleza étnica, así como una lucha política, con importantes antecedentes históricos en el colonialismo y la construcción de la nación poscolonial.</w:t>
      </w:r>
    </w:p>
    <w:p w14:paraId="118207B1" w14:textId="77777777" w:rsidR="0052260B" w:rsidRPr="00FB7753" w:rsidRDefault="0052260B" w:rsidP="00822EB3">
      <w:pPr>
        <w:ind w:firstLine="720"/>
        <w:rPr>
          <w:rFonts w:ascii="Garamond" w:hAnsi="Garamond"/>
          <w:lang w:val="es-MX"/>
        </w:rPr>
      </w:pPr>
      <w:r w:rsidRPr="00FB7753">
        <w:rPr>
          <w:rFonts w:ascii="Garamond" w:hAnsi="Garamond"/>
          <w:lang w:val="es-MX"/>
        </w:rPr>
        <w:lastRenderedPageBreak/>
        <w:t>Varios de estos proyectos liderados por la comunidad están acompañados de esfuerzos para rehacer los espacios públicos con murales coloridos y la instalación de centros culturales y museos que atraen a visitantes de dentro y fuera de la región. En algunas comunidades, estos textos culturales representan visualmente una postura crítica, como el mural de San Juan Comalapa, que retrata escenas sangrientas del conflicto armado, y sitúa estas imágenes en un largo lapso de tiempo anterior a la llegada de los colonialistas españoles. Los muralistas</w:t>
      </w:r>
      <w:r w:rsidR="00FB094F" w:rsidRPr="00FB7753">
        <w:rPr>
          <w:rFonts w:ascii="Garamond" w:hAnsi="Garamond"/>
          <w:lang w:val="es-MX"/>
        </w:rPr>
        <w:t xml:space="preserve"> </w:t>
      </w:r>
      <w:r w:rsidRPr="00FB7753">
        <w:rPr>
          <w:rFonts w:ascii="Garamond" w:hAnsi="Garamond"/>
          <w:lang w:val="es-MX"/>
        </w:rPr>
        <w:t xml:space="preserve">buscaron crear un espacio educativo y útil para la enseñanza y el aprendizaje formal e informal.5La evidencia etnográfica sugiere que algunas escuelas comunitarias y educadores individuales adoptan estas contra-narrativas, aunque también hay informes de que estas representaciones se ignoran o se dejan abiertas a la interpretación para evitar abordar temas delicados en las escuelas y en otros lugares (Bellino 2016; 2017). Por ejemplo, en una escuela comunitaria indígena en Comalapa, los maestros usan el mural como un recurso compartido para narrar las intersecciones de la historia y la cultura </w:t>
      </w:r>
      <w:r w:rsidR="00822EB3" w:rsidRPr="00FB7753">
        <w:rPr>
          <w:rFonts w:ascii="Garamond" w:hAnsi="Garamond"/>
          <w:lang w:val="es-MX"/>
        </w:rPr>
        <w:t>M</w:t>
      </w:r>
      <w:r w:rsidRPr="00FB7753">
        <w:rPr>
          <w:rFonts w:ascii="Garamond" w:hAnsi="Garamond"/>
          <w:lang w:val="es-MX"/>
        </w:rPr>
        <w:t>aya a las generaciones más jóvenes. Una maestra explicó que la historia de los mayas estaba compuesta por "muchas luchas y conflictos, no solo la guerra civil", y el mural ayudó a contextualizar esto como algo central en la experiencia indígena.</w:t>
      </w:r>
    </w:p>
    <w:p w14:paraId="446DC860" w14:textId="77777777" w:rsidR="00F34B9A" w:rsidRPr="00FB7753" w:rsidRDefault="00F34B9A" w:rsidP="00F34B9A">
      <w:pPr>
        <w:ind w:firstLine="720"/>
        <w:rPr>
          <w:rFonts w:ascii="Garamond" w:hAnsi="Garamond"/>
          <w:lang w:val="es-MX"/>
        </w:rPr>
      </w:pPr>
      <w:r w:rsidRPr="00FB7753">
        <w:rPr>
          <w:rFonts w:ascii="Garamond" w:hAnsi="Garamond"/>
          <w:lang w:val="es-MX"/>
        </w:rPr>
        <w:t xml:space="preserve">En una escuela comunitaria dirigida por indígenas en la provincia de Izabal, los maestros utilizan otros medios para invocar contra-narrativas. Durante semanas de observación participante en las clases de estudios sociales y derechos humanos, los maestros desviaron repetidamente a los estudiantes de una tendencia a ofrecer explicaciones individuales de la inequidad y la pobreza al reconocimiento de las estructuras de poder dentro del </w:t>
      </w:r>
      <w:r w:rsidR="00822EB3" w:rsidRPr="00FB7753">
        <w:rPr>
          <w:rFonts w:ascii="Garamond" w:hAnsi="Garamond"/>
          <w:lang w:val="es-MX"/>
        </w:rPr>
        <w:t>E</w:t>
      </w:r>
      <w:r w:rsidRPr="00FB7753">
        <w:rPr>
          <w:rFonts w:ascii="Garamond" w:hAnsi="Garamond"/>
          <w:lang w:val="es-MX"/>
        </w:rPr>
        <w:t>stado que han marginado y excluido a las poblaciones indígenas y rurales a lo largo del tiempo, incluid</w:t>
      </w:r>
      <w:r w:rsidR="00822EB3" w:rsidRPr="00FB7753">
        <w:rPr>
          <w:rFonts w:ascii="Garamond" w:hAnsi="Garamond"/>
          <w:lang w:val="es-MX"/>
        </w:rPr>
        <w:t>o</w:t>
      </w:r>
      <w:r w:rsidRPr="00FB7753">
        <w:rPr>
          <w:rFonts w:ascii="Garamond" w:hAnsi="Garamond"/>
          <w:lang w:val="es-MX"/>
        </w:rPr>
        <w:t xml:space="preserve"> </w:t>
      </w:r>
      <w:r w:rsidR="00822EB3" w:rsidRPr="00FB7753">
        <w:rPr>
          <w:rFonts w:ascii="Garamond" w:hAnsi="Garamond"/>
          <w:lang w:val="es-MX"/>
        </w:rPr>
        <w:t xml:space="preserve">el </w:t>
      </w:r>
      <w:r w:rsidRPr="00FB7753">
        <w:rPr>
          <w:rFonts w:ascii="Garamond" w:hAnsi="Garamond"/>
          <w:lang w:val="es-MX"/>
        </w:rPr>
        <w:t>uso de la violencia por parte del estado. En una asamblea escolar, el director recordó a los estudiantes que “Nosotros [los indígenas] no somos pobres. Nos hemos empobrecido. Nos han empobrecido ''. Aunque el director no expresó quiénes son los actores que redujeron a los pueblos indígenas a sujetos empobrecidos, su gesto hacia su subyugación colectiva reforzó la noción de que los pueblos indígenas estaban trabajando contra las creencias dominantes y arraigadas en la inferioridad indígena.</w:t>
      </w:r>
    </w:p>
    <w:p w14:paraId="42ACD1C2" w14:textId="77777777" w:rsidR="00F34B9A" w:rsidRPr="00FB7753" w:rsidRDefault="00F34B9A" w:rsidP="00F34B9A">
      <w:pPr>
        <w:ind w:firstLine="720"/>
        <w:rPr>
          <w:rFonts w:ascii="Garamond" w:hAnsi="Garamond"/>
          <w:lang w:val="es-MX"/>
        </w:rPr>
      </w:pPr>
      <w:r w:rsidRPr="00FB7753">
        <w:rPr>
          <w:rFonts w:ascii="Garamond" w:hAnsi="Garamond"/>
          <w:lang w:val="es-MX"/>
        </w:rPr>
        <w:t>A pesar de una política del IEB, a los estudiantes indígenas no se les garantiza la oportunidad de verse a sí mismos o su experiencia comunitaria reflejada en el plan de estudios nacional. El hecho de que los estudiantes enfrenten contra-narrativas críticas o visiones del mundo indígenas en su experiencia escolar depende significativamente de la misión de la escuela y los compromisos de los educadores individuales, muchos de los cuales abordan este trabajo con pocos materiales formales y poca formación profesional. Mientras tanto, las escuelas que atienden a estudiantes no indígenas tienen menos probabilidades de confrontar perspectivas históricas críticas, comprometerse con las cosmovisiones indígenas o incluso aprender lo que estaba en juego en la guerra civil. En todos estos casos de contranarrativas y autorrepresentaciones indígenas, existe una dependencia excesiva del financiamiento, la organización, la enseñanza y la legitimación de las identidades de los pueblos indígenas entre ellos y de forma aislada de las comunidades dominantes. En algunos casos, estos "proyectos de memoria", como se les suele llamar, reciben algún apoyo técnico o financiero de donantes internacionales, lo que sugiere el importante papel de los actores y organizaciones transnacionales.</w:t>
      </w:r>
    </w:p>
    <w:p w14:paraId="7AF7D2DE" w14:textId="77777777" w:rsidR="00A91AA1" w:rsidRPr="00FB7753" w:rsidRDefault="00A91AA1" w:rsidP="00A91AA1">
      <w:pPr>
        <w:ind w:firstLine="720"/>
        <w:rPr>
          <w:rFonts w:ascii="Garamond" w:hAnsi="Garamond"/>
          <w:lang w:val="es-MX"/>
        </w:rPr>
      </w:pPr>
      <w:r w:rsidRPr="00FB7753">
        <w:rPr>
          <w:rFonts w:ascii="Garamond" w:hAnsi="Garamond"/>
          <w:lang w:val="es-MX"/>
        </w:rPr>
        <w:t xml:space="preserve">Existen esfuerzos para publicar memorias y facilitar proyectos de memoria local en todas las comunidades indígenas de Guatemala. Estos proyectos a menudo se basan en el discurso de REMHI en el sentido de que apuntan a "rescatar", "recuperar" y "restaurar" la memoria, dando cuenta de experiencias de marginación que se han vuelto invisibles en la memoria pública. Sin embargo, estos textos rara vez trascienden las comunidades que los producen y en algunos casos no son bien conocidos dentro de ellos. Estos esfuerzos siguen siendo ad hoc y de circulación limitada. También son cada vez más peligrosos en el contexto político actual, donde los movimientos de solidaridad indígena se consideran divisivos, excluyentes y combativos, y a menudo se enfrentan a la </w:t>
      </w:r>
      <w:r w:rsidRPr="00FB7753">
        <w:rPr>
          <w:rFonts w:ascii="Garamond" w:hAnsi="Garamond"/>
          <w:lang w:val="es-MX"/>
        </w:rPr>
        <w:lastRenderedPageBreak/>
        <w:t>violencia (Bellino 2017; Isaacs 2010). En todos estos ejemplos, los miembros de la comunidad han mostrado preocupación por la ausencia de pueblos indígenas en las historias y narrativas de las identidades nacionales. Para los ciudadanos indígenas, así como para sus conciudadanos no indígenas, estas contranarrativas comparten la pesada carga de abogar por un mayor reconocimiento e inclusión de los pueblos indígenas.</w:t>
      </w:r>
    </w:p>
    <w:p w14:paraId="10619539" w14:textId="77777777" w:rsidR="00A91AA1" w:rsidRPr="00FB7753" w:rsidRDefault="00A91AA1" w:rsidP="00A91AA1">
      <w:pPr>
        <w:ind w:firstLine="720"/>
        <w:rPr>
          <w:rFonts w:ascii="Garamond" w:hAnsi="Garamond"/>
          <w:lang w:val="es-MX"/>
        </w:rPr>
      </w:pPr>
    </w:p>
    <w:p w14:paraId="0AA667E1" w14:textId="77777777" w:rsidR="00A91AA1" w:rsidRPr="00FB7753" w:rsidRDefault="00A91AA1" w:rsidP="00A91AA1">
      <w:pPr>
        <w:ind w:firstLine="720"/>
        <w:rPr>
          <w:rFonts w:ascii="Garamond" w:hAnsi="Garamond"/>
          <w:lang w:val="es-MX"/>
        </w:rPr>
      </w:pPr>
    </w:p>
    <w:p w14:paraId="2CEBD0BF" w14:textId="77777777" w:rsidR="00A91AA1" w:rsidRPr="00FB7753" w:rsidRDefault="00A91AA1" w:rsidP="00A91AA1">
      <w:pPr>
        <w:rPr>
          <w:rFonts w:ascii="Garamond" w:hAnsi="Garamond"/>
          <w:b/>
          <w:lang w:val="es-MX"/>
        </w:rPr>
      </w:pPr>
      <w:r w:rsidRPr="00FB7753">
        <w:rPr>
          <w:rFonts w:ascii="Garamond" w:hAnsi="Garamond"/>
          <w:b/>
          <w:lang w:val="es-MX"/>
        </w:rPr>
        <w:t>Conclusión</w:t>
      </w:r>
    </w:p>
    <w:p w14:paraId="6DB3F717" w14:textId="77777777" w:rsidR="00A91AA1" w:rsidRPr="00FB7753" w:rsidRDefault="00A91AA1" w:rsidP="00A91AA1">
      <w:pPr>
        <w:ind w:firstLine="720"/>
        <w:rPr>
          <w:rFonts w:ascii="Garamond" w:hAnsi="Garamond"/>
          <w:lang w:val="es-MX"/>
        </w:rPr>
      </w:pPr>
    </w:p>
    <w:p w14:paraId="2C1B270A" w14:textId="77777777" w:rsidR="00A91AA1" w:rsidRPr="00FB7753" w:rsidRDefault="00A91AA1" w:rsidP="00A91AA1">
      <w:pPr>
        <w:ind w:firstLine="720"/>
        <w:rPr>
          <w:rFonts w:ascii="Garamond" w:hAnsi="Garamond"/>
          <w:lang w:val="es-MX"/>
        </w:rPr>
      </w:pPr>
      <w:r w:rsidRPr="00FB7753">
        <w:rPr>
          <w:rFonts w:ascii="Garamond" w:hAnsi="Garamond"/>
          <w:lang w:val="es-MX"/>
        </w:rPr>
        <w:t>A raíz de sus respectivas guerras civiles, El Salvador y Guatemala enseñan el pasado violento y trabajan por la inclusión de los ciudadanos indígenas de formas divergentes, enfrentando distintos desafíos vinculados a la política de posguerra. Si bien la guerra se discute con cierta lente dentro del sector de la educación formal de El Salvador, el papel de los pueblos indígenas permanece consignado al pasado anterior a 1932. En contraste, Guatemala tiene un reconocimiento más profundo en términos legales y a través de narrativas de pluriculturalismo democrático, pero los pueblos indígenas siguen siendo figuras marginadas tanto en la historia como en la vida contemporánea. El pasado conflicto de El Salvador es público, visible y considerado un elemento significativo de la historia nacional, mientras que la falta de consenso en el conflicto de Guatemala tiende a resultar en su silenciamiento en los espacios educativos formales. Mientras tanto, las demostraciones públicas de pluralismo cultural de Guatemala celebran visiblemente la diversidad indígena, pero la indigeneidad sigue siendo silenciada y cuestionada en El Salvador. Estas diferencias delinean los desafíos que enfrenta cada país en su búsqueda de procesos de democratización equitativos para ciudadanos multiculturales.</w:t>
      </w:r>
    </w:p>
    <w:p w14:paraId="28B583E0" w14:textId="77777777" w:rsidR="00392FEB" w:rsidRPr="00FB7753" w:rsidRDefault="00392FEB" w:rsidP="00392FEB">
      <w:pPr>
        <w:ind w:firstLine="720"/>
        <w:rPr>
          <w:rFonts w:ascii="Garamond" w:hAnsi="Garamond"/>
          <w:lang w:val="es-MX"/>
        </w:rPr>
      </w:pPr>
      <w:r w:rsidRPr="00FB7753">
        <w:rPr>
          <w:rFonts w:ascii="Garamond" w:hAnsi="Garamond"/>
          <w:lang w:val="es-MX"/>
        </w:rPr>
        <w:t>Estas diferencias no solo deberían ser de interés para los académicos, sino también para los responsables políticos regionales y otros actores en los campos de la política, la educación y el desarrollo. Un enfoque único para la inclusión indígena estaría fuera de lugar en estos dos países. Más bien, hacer un balance de los procesos que van bien, tanto en el sector de la educación formal como en el informal, ofrece una idea de las necesidades bastante divergentes en cada país. En El Salvador, la promoción de la protección institucional para los ciudadanos indígenas sigue siendo fundamental, mientras que el progreso inicial en la enseñanza del pasado violento podría recibir más apoyo. En Guatemala, abordar el discurso nacional sobre el pasado violento en relación con, más que como un proyecto separado de los derechos indígenas, podría resaltar la interseccionalidad de las marginaciones históricas. En ambos países, reconocer esta intersección entre la marginación como pueblos indígenas, como campesinos y como actores en el pasado violento sería un paso importante para desmantelar los silos convenientes pero problemáticos que persisten tanto en el trabajo de derechos locales como en las cuestiones de derechos humanos en general.</w:t>
      </w:r>
    </w:p>
    <w:p w14:paraId="5690E8AA" w14:textId="77777777" w:rsidR="00392FEB" w:rsidRPr="00FB7753" w:rsidRDefault="00392FEB" w:rsidP="00392FEB">
      <w:pPr>
        <w:ind w:firstLine="720"/>
        <w:rPr>
          <w:rFonts w:ascii="Garamond" w:hAnsi="Garamond"/>
          <w:lang w:val="es-MX"/>
        </w:rPr>
      </w:pPr>
      <w:r w:rsidRPr="00FB7753">
        <w:rPr>
          <w:rFonts w:ascii="Garamond" w:hAnsi="Garamond"/>
          <w:lang w:val="es-MX"/>
        </w:rPr>
        <w:t>Como ha mostrado este artículo, las presencias y ausencias de temas críticos para una historia nacional precisa tienen sus raíces en dinámicas de democratización y justicia transicional. La relación entre estos procesos y las agendas educativas contemporáneas es profundamente política y está conectada con las nociones de cómo se debe fomentar la ciudadanía salvadoreña y guatemalteca en los espacios educativos formales e informales. Las futuras agendas de investigación podrían continuar desentrañando quiénes se benefician de ciertas representaciones del pasado violento, mientras exploran empíricamente la relación entre la historia violenta y la educación cívica. Además, los esfuerzos más concertados para rastrear las corrientes de financiación que financian los proyectos de memoria e identidad locales constituirían un ángulo interesante para la investigación futura, lo que contribuiría a comprender los esfuerzos de inclusión y visibilidad que provienen tanto de dentro como de fuera de los estados.</w:t>
      </w:r>
    </w:p>
    <w:p w14:paraId="103A95C1" w14:textId="77777777" w:rsidR="008F1D97" w:rsidRPr="00FB7753" w:rsidRDefault="008F1D97" w:rsidP="00392FEB">
      <w:pPr>
        <w:ind w:firstLine="720"/>
        <w:rPr>
          <w:rFonts w:ascii="Garamond" w:hAnsi="Garamond"/>
          <w:lang w:val="es-MX"/>
        </w:rPr>
      </w:pPr>
      <w:r w:rsidRPr="00FB7753">
        <w:rPr>
          <w:rFonts w:ascii="Garamond" w:hAnsi="Garamond"/>
          <w:lang w:val="es-MX"/>
        </w:rPr>
        <w:lastRenderedPageBreak/>
        <w:t xml:space="preserve">Para nuestros propósitos, hemos examinado las representaciones del pasado violento y los ciudadanos indígenas en una variedad de espacios educativos formales e informales. Al adoptar un enfoque interdisciplinario en nuestros campos de ciencia política, antropología y educación, hemos buscado involucrar la causalidad a través de una lente interpretativa que documente la recursividad entre los procesos políticos de democratización y justicia transicional. Al hacerlo, reconocemos el importante papel que estos procesos desempeñan en la configuración del escenario educativo en el que se presentan las identidades nacionales, así como las implicaciones de la educación para la configuración de una sociedad democrática. La educación en El Salvador y Guatemala, y de hecho en cualquier país, es un terreno privilegiado para promover la democracia multicultural. Sin embargo, hasta que el sector formal se involucre tanto en la enseñanza del pasado violento como en la promoción del multiculturalismo como metas valiosas e interrelacionadas, los proyectos de promoción cultural impulsados </w:t>
      </w:r>
      <w:r w:rsidRPr="00FB7753">
        <w:rPr>
          <w:rFonts w:ascii="Times New Roman" w:hAnsi="Times New Roman" w:cs="Times New Roman"/>
          <w:lang w:val="es-MX"/>
        </w:rPr>
        <w:t>​​</w:t>
      </w:r>
      <w:r w:rsidRPr="00FB7753">
        <w:rPr>
          <w:rFonts w:ascii="Garamond" w:hAnsi="Garamond"/>
          <w:lang w:val="es-MX"/>
        </w:rPr>
        <w:t xml:space="preserve">por la comunidad siguen siendo espacios vitales para promover contranarrativas. Estas organizaciones comunitarias no deberían tener que asumir toda la carga de abordar las interseccionalidades de la marginación, sino que podrían servir para inspirar un compromiso más profundo en los entornos de educación formal, creando nuevos espacios discursivos que reconozcan a los pueblos indígenas y los pasados </w:t>
      </w:r>
      <w:r w:rsidRPr="00FB7753">
        <w:rPr>
          <w:rFonts w:ascii="Times New Roman" w:hAnsi="Times New Roman" w:cs="Times New Roman"/>
          <w:lang w:val="es-MX"/>
        </w:rPr>
        <w:t>​​</w:t>
      </w:r>
      <w:r w:rsidRPr="00FB7753">
        <w:rPr>
          <w:rFonts w:ascii="Garamond" w:hAnsi="Garamond"/>
          <w:lang w:val="es-MX"/>
        </w:rPr>
        <w:t>violentos que los han marginado.</w:t>
      </w:r>
    </w:p>
    <w:p w14:paraId="328FD858" w14:textId="77777777" w:rsidR="00124CAA" w:rsidRPr="00FB7753" w:rsidRDefault="00124CAA" w:rsidP="00392FEB">
      <w:pPr>
        <w:ind w:firstLine="720"/>
        <w:rPr>
          <w:rFonts w:ascii="Garamond" w:hAnsi="Garamond"/>
          <w:lang w:val="es-MX"/>
        </w:rPr>
      </w:pPr>
    </w:p>
    <w:p w14:paraId="536B6988" w14:textId="77777777" w:rsidR="00124CAA" w:rsidRPr="00FB7753" w:rsidRDefault="00124CAA" w:rsidP="00124CAA">
      <w:pPr>
        <w:rPr>
          <w:rFonts w:ascii="Garamond" w:hAnsi="Garamond"/>
          <w:b/>
          <w:lang w:val="es-MX"/>
        </w:rPr>
      </w:pPr>
      <w:r w:rsidRPr="00FB7753">
        <w:rPr>
          <w:rFonts w:ascii="Garamond" w:hAnsi="Garamond"/>
          <w:b/>
          <w:lang w:val="es-MX"/>
        </w:rPr>
        <w:t>Agradecimientos</w:t>
      </w:r>
    </w:p>
    <w:p w14:paraId="5ABC5DC5" w14:textId="77777777" w:rsidR="00124CAA" w:rsidRPr="00FB7753" w:rsidRDefault="00124CAA" w:rsidP="00124CAA">
      <w:pPr>
        <w:ind w:firstLine="720"/>
        <w:rPr>
          <w:rFonts w:ascii="Garamond" w:hAnsi="Garamond"/>
          <w:lang w:val="es-MX"/>
        </w:rPr>
      </w:pPr>
    </w:p>
    <w:p w14:paraId="076646D5" w14:textId="77777777" w:rsidR="00124CAA" w:rsidRPr="00FB7753" w:rsidRDefault="00124CAA" w:rsidP="00124CAA">
      <w:pPr>
        <w:ind w:firstLine="720"/>
        <w:rPr>
          <w:rFonts w:ascii="Garamond" w:hAnsi="Garamond"/>
          <w:lang w:val="es-MX"/>
        </w:rPr>
      </w:pPr>
      <w:r w:rsidRPr="00FB7753">
        <w:rPr>
          <w:rFonts w:ascii="Garamond" w:hAnsi="Garamond"/>
          <w:lang w:val="es-MX"/>
        </w:rPr>
        <w:t>Mneesha Gellman agradece al personal de MUPI, CCNIS y la escuela Marroquín por su tiempo y hospitalidad, a Maggie Von Vogt por su asistencia en la investigación y al Centro de Investigación de Resolución de Disputas de la Universidad Northwestern por su apoyo a la investigación. Michelle Bellino agradece al Instituto de la Paz de los Estados Unidos y al Centro David Rockefeller de Estudios Latinoamericanos de la Universidad de Harvard por apoyar su investigación, y un agradecimiento especial a los amigos de Chimaltenango e Izabal por sus conocimientos y participación. Ambos autores agradecen al Instituto Georg Eckert para la Investigación Internacional de Libros de Texto por acogerlos como participantes en el Programa Georg Arnhold de Educación para la Paz Sostenible de 2014, y a Elizabeth Oglesby por su papel allí para plantar la idea de esta colaboración.</w:t>
      </w:r>
    </w:p>
    <w:p w14:paraId="79B7FAF2" w14:textId="77777777" w:rsidR="00124CAA" w:rsidRPr="00FB7753" w:rsidRDefault="00124CAA" w:rsidP="00124CAA">
      <w:pPr>
        <w:ind w:firstLine="720"/>
        <w:rPr>
          <w:rFonts w:ascii="Garamond" w:hAnsi="Garamond"/>
          <w:lang w:val="es-MX"/>
        </w:rPr>
      </w:pPr>
    </w:p>
    <w:p w14:paraId="2222FE24" w14:textId="77777777" w:rsidR="00124CAA" w:rsidRPr="00FB7753" w:rsidRDefault="00124CAA" w:rsidP="00124CAA">
      <w:pPr>
        <w:ind w:firstLine="720"/>
        <w:rPr>
          <w:rFonts w:ascii="Garamond" w:hAnsi="Garamond"/>
          <w:lang w:val="es-MX"/>
        </w:rPr>
      </w:pPr>
    </w:p>
    <w:p w14:paraId="337C7808" w14:textId="77777777" w:rsidR="00124CAA" w:rsidRPr="00FB7753" w:rsidRDefault="00124CAA" w:rsidP="00124CAA">
      <w:pPr>
        <w:rPr>
          <w:rFonts w:ascii="Garamond" w:hAnsi="Garamond"/>
          <w:b/>
          <w:lang w:val="es-MX"/>
        </w:rPr>
      </w:pPr>
      <w:r w:rsidRPr="00FB7753">
        <w:rPr>
          <w:rFonts w:ascii="Garamond" w:hAnsi="Garamond"/>
          <w:b/>
          <w:lang w:val="es-MX"/>
        </w:rPr>
        <w:t>Notas</w:t>
      </w:r>
    </w:p>
    <w:p w14:paraId="49159349" w14:textId="77777777" w:rsidR="00124CAA" w:rsidRPr="00FB7753" w:rsidRDefault="00124CAA" w:rsidP="00124CAA">
      <w:pPr>
        <w:ind w:firstLine="720"/>
        <w:rPr>
          <w:rFonts w:ascii="Garamond" w:hAnsi="Garamond"/>
          <w:lang w:val="es-MX"/>
        </w:rPr>
      </w:pPr>
      <w:r w:rsidRPr="00FB7753">
        <w:rPr>
          <w:rFonts w:ascii="Garamond" w:hAnsi="Garamond"/>
          <w:lang w:val="es-MX"/>
        </w:rPr>
        <w:t xml:space="preserve">1. Aunque los autores se refieren específicamente a la masacre de 1932, el lente de causalidad comunista también se puede aplicar a la guerra civil salvadoreña, aunque se ha prestado aún menos atención a la dimensión étnica de la guerra. La evidencia que existe tiende a ser observacional, </w:t>
      </w:r>
      <w:r w:rsidR="00822EB3" w:rsidRPr="00FB7753">
        <w:rPr>
          <w:rFonts w:ascii="Garamond" w:hAnsi="Garamond"/>
          <w:lang w:val="es-MX"/>
        </w:rPr>
        <w:t>como,</w:t>
      </w:r>
      <w:r w:rsidRPr="00FB7753">
        <w:rPr>
          <w:rFonts w:ascii="Garamond" w:hAnsi="Garamond"/>
          <w:lang w:val="es-MX"/>
        </w:rPr>
        <w:t xml:space="preserve"> por ejemplo, en las memorias de Carlos Henríquez Consalvi (2011, 54-56, 60-61), y la indigeneidad en la guerra sigue siendo una vía importante para la investigación futura.</w:t>
      </w:r>
    </w:p>
    <w:p w14:paraId="5BC04331" w14:textId="77777777" w:rsidR="00124CAA" w:rsidRPr="00FB7753" w:rsidRDefault="00124CAA" w:rsidP="00124CAA">
      <w:pPr>
        <w:ind w:firstLine="720"/>
        <w:rPr>
          <w:rFonts w:ascii="Garamond" w:hAnsi="Garamond"/>
          <w:lang w:val="es-MX"/>
        </w:rPr>
      </w:pPr>
      <w:r w:rsidRPr="00FB7753">
        <w:rPr>
          <w:rFonts w:ascii="Garamond" w:hAnsi="Garamond"/>
          <w:lang w:val="es-MX"/>
        </w:rPr>
        <w:t>2. Para críticas similares a la política educativa intercultural en Perú, ver Paulson, 2017; Valdiviezo, 2009.</w:t>
      </w:r>
    </w:p>
    <w:p w14:paraId="79DE8950" w14:textId="77777777" w:rsidR="003F3E39" w:rsidRPr="00FB7753" w:rsidRDefault="003F3E39" w:rsidP="003F3E39">
      <w:pPr>
        <w:ind w:firstLine="720"/>
        <w:rPr>
          <w:rFonts w:ascii="Garamond" w:hAnsi="Garamond"/>
          <w:lang w:val="es-MX"/>
        </w:rPr>
      </w:pPr>
      <w:r w:rsidRPr="00FB7753">
        <w:rPr>
          <w:rFonts w:ascii="Garamond" w:hAnsi="Garamond"/>
          <w:lang w:val="es-MX"/>
        </w:rPr>
        <w:t>3. Consulte el sitio web de MUPI para obtener una descripción de todas las actividades de MUPI: http://museo.com.sv/en/.</w:t>
      </w:r>
    </w:p>
    <w:p w14:paraId="6946AC15" w14:textId="77777777" w:rsidR="003F3E39" w:rsidRPr="00FB7753" w:rsidRDefault="003F3E39" w:rsidP="003F3E39">
      <w:pPr>
        <w:ind w:firstLine="720"/>
        <w:rPr>
          <w:rFonts w:ascii="Garamond" w:hAnsi="Garamond"/>
          <w:lang w:val="es-MX"/>
        </w:rPr>
      </w:pPr>
      <w:r w:rsidRPr="00FB7753">
        <w:rPr>
          <w:rFonts w:ascii="Garamond" w:hAnsi="Garamond"/>
          <w:lang w:val="es-MX"/>
        </w:rPr>
        <w:t>4. El texto agradece el apoyo del Fondo de Gobernalidad de Guatemala de la Embajada Real de los Países Bajos y del Centro Canadiense de Estudios y Cooperación Internacional. El Museo Rabinal (http://www.museo.rabinal.info/historia.html) se describe a sí mismo como un esfuerzo dirigido por la comunidad.</w:t>
      </w:r>
    </w:p>
    <w:p w14:paraId="5744A2BB" w14:textId="77777777" w:rsidR="003F3E39" w:rsidRPr="00FB7753" w:rsidRDefault="003F3E39" w:rsidP="003F3E39">
      <w:pPr>
        <w:ind w:firstLine="720"/>
        <w:rPr>
          <w:rFonts w:ascii="Garamond" w:hAnsi="Garamond"/>
          <w:lang w:val="es-MX"/>
        </w:rPr>
      </w:pPr>
      <w:r w:rsidRPr="00FB7753">
        <w:rPr>
          <w:rFonts w:ascii="Garamond" w:hAnsi="Garamond"/>
          <w:lang w:val="es-MX"/>
        </w:rPr>
        <w:t xml:space="preserve">5. El proyecto de mural y texto fue patrocinado conjuntamente por el Grupo Juvenil de Comalapa, una organización comunitaria, junto con el Fondo de Desarrollo de las Naciones Unidas, </w:t>
      </w:r>
      <w:r w:rsidRPr="00FB7753">
        <w:rPr>
          <w:rFonts w:ascii="Garamond" w:hAnsi="Garamond"/>
          <w:lang w:val="es-MX"/>
        </w:rPr>
        <w:lastRenderedPageBreak/>
        <w:t>y asociaciones internacionales con el Ministerio de Relaciones Exteriores de Noruega, Asdi y Danida.</w:t>
      </w:r>
    </w:p>
    <w:p w14:paraId="7F23B87F" w14:textId="77777777" w:rsidR="003F3E39" w:rsidRPr="00FB7753" w:rsidRDefault="003F3E39" w:rsidP="003F3E39">
      <w:pPr>
        <w:ind w:firstLine="720"/>
        <w:rPr>
          <w:rFonts w:ascii="Garamond" w:hAnsi="Garamond"/>
          <w:lang w:val="es-MX"/>
        </w:rPr>
      </w:pPr>
    </w:p>
    <w:p w14:paraId="1869D4CE" w14:textId="77777777" w:rsidR="003F3E39" w:rsidRPr="00FB7753" w:rsidRDefault="003F3E39" w:rsidP="003F3E39">
      <w:pPr>
        <w:ind w:firstLine="720"/>
        <w:rPr>
          <w:rFonts w:ascii="Garamond" w:hAnsi="Garamond"/>
          <w:lang w:val="es-MX"/>
        </w:rPr>
      </w:pPr>
    </w:p>
    <w:p w14:paraId="2F158F45" w14:textId="77777777" w:rsidR="003F3E39" w:rsidRPr="00FB7753" w:rsidRDefault="003F3E39" w:rsidP="003F3E39">
      <w:pPr>
        <w:ind w:firstLine="720"/>
        <w:rPr>
          <w:rFonts w:ascii="Garamond" w:hAnsi="Garamond"/>
          <w:lang w:val="es-MX"/>
        </w:rPr>
      </w:pPr>
      <w:r w:rsidRPr="00FB7753">
        <w:rPr>
          <w:rFonts w:ascii="Garamond" w:hAnsi="Garamond"/>
          <w:lang w:val="es-MX"/>
        </w:rPr>
        <w:t>Referencias</w:t>
      </w:r>
    </w:p>
    <w:p w14:paraId="692618E4" w14:textId="77777777" w:rsidR="003F3E39" w:rsidRPr="00FB7753" w:rsidRDefault="003F3E39" w:rsidP="003F3E39">
      <w:pPr>
        <w:ind w:firstLine="720"/>
        <w:rPr>
          <w:rFonts w:ascii="Garamond" w:hAnsi="Garamond"/>
          <w:lang w:val="es-MX"/>
        </w:rPr>
      </w:pPr>
    </w:p>
    <w:p w14:paraId="7595BFF6" w14:textId="77777777" w:rsidR="003F3E39" w:rsidRPr="00FB7753" w:rsidRDefault="003F3E39" w:rsidP="003F3E39">
      <w:pPr>
        <w:pStyle w:val="EndNoteBibliography"/>
        <w:ind w:left="720" w:hanging="720"/>
        <w:contextualSpacing/>
        <w:rPr>
          <w:rFonts w:ascii="Garamond" w:hAnsi="Garamond"/>
          <w:noProof/>
        </w:rPr>
      </w:pPr>
      <w:r w:rsidRPr="00FB7753">
        <w:rPr>
          <w:rFonts w:ascii="Garamond" w:hAnsi="Garamond"/>
          <w:noProof/>
          <w:lang w:val="es-MX"/>
        </w:rPr>
        <w:t xml:space="preserve">Ama de Chile, Lidia Juliana. </w:t>
      </w:r>
      <w:r w:rsidRPr="00FB7753">
        <w:rPr>
          <w:rFonts w:ascii="Garamond" w:hAnsi="Garamond"/>
          <w:noProof/>
        </w:rPr>
        <w:t>2010. Director of Izalco Primary School “Mario Calvo Marroquín,” and cultural rights activist. Interview with author</w:t>
      </w:r>
      <w:r w:rsidRPr="00FB7753">
        <w:rPr>
          <w:rFonts w:ascii="Garamond" w:hAnsi="Garamond"/>
          <w:i/>
          <w:noProof/>
        </w:rPr>
        <w:t>.</w:t>
      </w:r>
      <w:r w:rsidRPr="00FB7753">
        <w:rPr>
          <w:rFonts w:ascii="Garamond" w:hAnsi="Garamond"/>
          <w:noProof/>
        </w:rPr>
        <w:t xml:space="preserve"> Izalco, El Salvador, March 18.</w:t>
      </w:r>
    </w:p>
    <w:p w14:paraId="0CF2381B" w14:textId="77777777" w:rsidR="003F3E39" w:rsidRPr="00FB7753" w:rsidRDefault="003F3E39" w:rsidP="003F3E39">
      <w:pPr>
        <w:pStyle w:val="EndNoteBibliography"/>
        <w:ind w:left="720" w:hanging="720"/>
        <w:contextualSpacing/>
        <w:rPr>
          <w:rFonts w:ascii="Garamond" w:hAnsi="Garamond"/>
          <w:noProof/>
        </w:rPr>
      </w:pPr>
      <w:r w:rsidRPr="00FB7753">
        <w:rPr>
          <w:rFonts w:ascii="Garamond" w:hAnsi="Garamond"/>
          <w:noProof/>
        </w:rPr>
        <w:t xml:space="preserve">Anaya, James. 2013. </w:t>
      </w:r>
      <w:r w:rsidRPr="00FB7753">
        <w:rPr>
          <w:rFonts w:ascii="Garamond" w:hAnsi="Garamond"/>
          <w:i/>
          <w:noProof/>
        </w:rPr>
        <w:t>Report of the Special Rapporteur on the rights of indigenous peoples, James Anaya. The situation of indigenous peoples in El Salvador.</w:t>
      </w:r>
      <w:r w:rsidRPr="00FB7753">
        <w:rPr>
          <w:rFonts w:ascii="Garamond" w:hAnsi="Garamond"/>
          <w:noProof/>
        </w:rPr>
        <w:t xml:space="preserve"> Human Rights Council,Twenty-fourth session, Agenda item 3, 25 June, United Nations General Assembly.</w:t>
      </w:r>
    </w:p>
    <w:p w14:paraId="435F217A" w14:textId="77777777" w:rsidR="003F3E39" w:rsidRPr="00FB7753" w:rsidRDefault="003F3E39" w:rsidP="003F3E39">
      <w:pPr>
        <w:pStyle w:val="EndNoteBibliography"/>
        <w:spacing w:after="0"/>
        <w:ind w:left="720" w:hanging="720"/>
        <w:contextualSpacing/>
        <w:rPr>
          <w:rFonts w:ascii="Garamond" w:hAnsi="Garamond"/>
          <w:noProof/>
          <w:lang w:val="es-MX"/>
        </w:rPr>
      </w:pPr>
      <w:r w:rsidRPr="00FB7753">
        <w:rPr>
          <w:rFonts w:ascii="Garamond" w:hAnsi="Garamond"/>
          <w:noProof/>
          <w:lang w:val="es-MX"/>
        </w:rPr>
        <w:t xml:space="preserve">Argueta, Ricardo. 2011. “La guerra civil en El Salvador (1981-1992).” In </w:t>
      </w:r>
      <w:r w:rsidRPr="00FB7753">
        <w:rPr>
          <w:rFonts w:ascii="Garamond" w:hAnsi="Garamond"/>
          <w:i/>
          <w:noProof/>
          <w:lang w:val="es-MX"/>
        </w:rPr>
        <w:t>Historia Mínima: 1811-2011,</w:t>
      </w:r>
      <w:r w:rsidRPr="00FB7753">
        <w:rPr>
          <w:rFonts w:ascii="Garamond" w:hAnsi="Garamond"/>
          <w:noProof/>
          <w:lang w:val="es-MX"/>
        </w:rPr>
        <w:t xml:space="preserve"> edited by Erick Rivera Orellana and Secretaría de Cultura de la Presidencia de la República El Salvador, 89-95. San Salvador: Secretaria de Cultura de la Presidencia.</w:t>
      </w:r>
    </w:p>
    <w:p w14:paraId="33940B9B" w14:textId="77777777" w:rsidR="003F3E39" w:rsidRPr="00FB7753" w:rsidRDefault="003F3E39" w:rsidP="003F3E39">
      <w:pPr>
        <w:ind w:left="720" w:hanging="720"/>
        <w:contextualSpacing/>
        <w:rPr>
          <w:rFonts w:ascii="Garamond" w:hAnsi="Garamond"/>
          <w:noProof/>
        </w:rPr>
      </w:pPr>
      <w:r w:rsidRPr="00FB7753">
        <w:rPr>
          <w:rFonts w:ascii="Garamond" w:hAnsi="Garamond"/>
          <w:noProof/>
          <w:lang w:val="es-MX"/>
        </w:rPr>
        <w:t xml:space="preserve">Bastos, Santiago. </w:t>
      </w:r>
      <w:r w:rsidRPr="00FB7753">
        <w:rPr>
          <w:rFonts w:ascii="Garamond" w:hAnsi="Garamond"/>
          <w:noProof/>
        </w:rPr>
        <w:t xml:space="preserve">2012. “Multicultural projects in Guatemala: Identity tensions and everyday ideologies.” </w:t>
      </w:r>
      <w:r w:rsidRPr="00FB7753">
        <w:rPr>
          <w:rFonts w:ascii="Garamond" w:hAnsi="Garamond"/>
          <w:i/>
          <w:noProof/>
        </w:rPr>
        <w:t xml:space="preserve">Latin American and Caribbean Ethnic Studies </w:t>
      </w:r>
      <w:r w:rsidRPr="00FB7753">
        <w:rPr>
          <w:rFonts w:ascii="Garamond" w:hAnsi="Garamond"/>
          <w:noProof/>
        </w:rPr>
        <w:t xml:space="preserve">7 (2): 155–172. </w:t>
      </w:r>
      <w:r w:rsidRPr="00FB7753">
        <w:rPr>
          <w:rFonts w:ascii="Garamond" w:hAnsi="Garamond"/>
          <w:noProof/>
        </w:rPr>
        <w:tab/>
      </w:r>
    </w:p>
    <w:p w14:paraId="518DFB52"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Becerra, Diana Carolina Sierra. 2013. “Struggles to Remember: The Museum of the Word and Image in Postwar El Salvador.” Paper presented at the Museum Studies Brownbag Series, University of Michigan, Ann Arbor, MI. </w:t>
      </w:r>
    </w:p>
    <w:p w14:paraId="4EEF539A"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lang w:val="es-MX"/>
        </w:rPr>
        <w:t xml:space="preserve">Becerra, Diana Carolina Sierra. 2017. “Historical Memory in El Salvador's Museo de la Palabra y la Imagen.” </w:t>
      </w:r>
      <w:r w:rsidRPr="00FB7753">
        <w:rPr>
          <w:rFonts w:ascii="Garamond" w:hAnsi="Garamond"/>
          <w:noProof/>
        </w:rPr>
        <w:t xml:space="preserve">In </w:t>
      </w:r>
      <w:r w:rsidRPr="00FB7753">
        <w:rPr>
          <w:rFonts w:ascii="Garamond" w:hAnsi="Garamond"/>
          <w:i/>
          <w:iCs/>
          <w:noProof/>
        </w:rPr>
        <w:t xml:space="preserve">Memory, Truth, and Justice in Contemporary Latin America, </w:t>
      </w:r>
      <w:r w:rsidRPr="00FB7753">
        <w:rPr>
          <w:rFonts w:ascii="Garamond" w:hAnsi="Garamond"/>
          <w:iCs/>
          <w:noProof/>
        </w:rPr>
        <w:t xml:space="preserve">edited by </w:t>
      </w:r>
      <w:r w:rsidRPr="00FB7753">
        <w:rPr>
          <w:rFonts w:ascii="Garamond" w:hAnsi="Garamond"/>
          <w:noProof/>
        </w:rPr>
        <w:t>Roberta Villalón, 205-220. Lanham: Rowman &amp; Littlefield.</w:t>
      </w:r>
    </w:p>
    <w:p w14:paraId="4E671A7A" w14:textId="77777777" w:rsidR="003F3E39" w:rsidRPr="00FB7753" w:rsidRDefault="003F3E39" w:rsidP="003F3E39">
      <w:pPr>
        <w:ind w:left="720" w:hanging="720"/>
        <w:contextualSpacing/>
        <w:rPr>
          <w:rFonts w:ascii="Garamond" w:hAnsi="Garamond"/>
          <w:color w:val="222222"/>
          <w:lang w:bidi="en-US"/>
        </w:rPr>
      </w:pPr>
      <w:proofErr w:type="spellStart"/>
      <w:r w:rsidRPr="00FB7753">
        <w:rPr>
          <w:rFonts w:ascii="Garamond" w:hAnsi="Garamond"/>
          <w:color w:val="222222"/>
          <w:lang w:bidi="en-US"/>
        </w:rPr>
        <w:t>Bellino</w:t>
      </w:r>
      <w:proofErr w:type="spellEnd"/>
      <w:r w:rsidRPr="00FB7753">
        <w:rPr>
          <w:rFonts w:ascii="Garamond" w:hAnsi="Garamond"/>
          <w:color w:val="222222"/>
          <w:lang w:bidi="en-US"/>
        </w:rPr>
        <w:t xml:space="preserve">, Michelle J. 2014. “Whose past, whose </w:t>
      </w:r>
      <w:proofErr w:type="gramStart"/>
      <w:r w:rsidRPr="00FB7753">
        <w:rPr>
          <w:rFonts w:ascii="Garamond" w:hAnsi="Garamond"/>
          <w:color w:val="222222"/>
          <w:lang w:bidi="en-US"/>
        </w:rPr>
        <w:t>present?:</w:t>
      </w:r>
      <w:proofErr w:type="gramEnd"/>
      <w:r w:rsidRPr="00FB7753">
        <w:rPr>
          <w:rFonts w:ascii="Garamond" w:hAnsi="Garamond"/>
          <w:color w:val="222222"/>
          <w:lang w:bidi="en-US"/>
        </w:rPr>
        <w:t xml:space="preserve"> Historical memory among the ‘postwar’ generation in Guatemala.” In </w:t>
      </w:r>
      <w:r w:rsidRPr="00FB7753">
        <w:rPr>
          <w:rFonts w:ascii="Garamond" w:hAnsi="Garamond"/>
          <w:i/>
          <w:color w:val="222222"/>
          <w:lang w:bidi="en-US"/>
        </w:rPr>
        <w:t>(</w:t>
      </w:r>
      <w:r w:rsidRPr="00FB7753">
        <w:rPr>
          <w:rFonts w:ascii="Garamond" w:hAnsi="Garamond"/>
          <w:i/>
          <w:color w:val="222222"/>
          <w:shd w:val="clear" w:color="auto" w:fill="FFFFFF"/>
        </w:rPr>
        <w:t xml:space="preserve">Re)constructing Memory: School Textbooks and the Imagination of the Nation, </w:t>
      </w:r>
      <w:r w:rsidRPr="00FB7753">
        <w:rPr>
          <w:rFonts w:ascii="Garamond" w:hAnsi="Garamond"/>
          <w:color w:val="222222"/>
          <w:shd w:val="clear" w:color="auto" w:fill="FFFFFF"/>
        </w:rPr>
        <w:t xml:space="preserve">edited by J.H. </w:t>
      </w:r>
      <w:r w:rsidRPr="00FB7753">
        <w:rPr>
          <w:rFonts w:ascii="Garamond" w:hAnsi="Garamond"/>
          <w:color w:val="222222"/>
          <w:lang w:bidi="en-US"/>
        </w:rPr>
        <w:t xml:space="preserve">Williams, </w:t>
      </w:r>
      <w:r w:rsidRPr="00FB7753">
        <w:rPr>
          <w:rFonts w:ascii="Garamond" w:hAnsi="Garamond"/>
          <w:color w:val="222222"/>
          <w:shd w:val="clear" w:color="auto" w:fill="FFFFFF"/>
        </w:rPr>
        <w:t>131-152. Rotterdam: Sense Publishers.</w:t>
      </w:r>
    </w:p>
    <w:p w14:paraId="646FAADC" w14:textId="77777777" w:rsidR="003F3E39" w:rsidRPr="00FB7753" w:rsidRDefault="003F3E39" w:rsidP="003F3E39">
      <w:pPr>
        <w:ind w:left="720" w:hanging="720"/>
        <w:contextualSpacing/>
        <w:rPr>
          <w:rFonts w:ascii="Garamond" w:hAnsi="Garamond"/>
        </w:rPr>
      </w:pPr>
      <w:proofErr w:type="spellStart"/>
      <w:r w:rsidRPr="00FB7753">
        <w:rPr>
          <w:rFonts w:ascii="Garamond" w:hAnsi="Garamond"/>
          <w:color w:val="222222"/>
          <w:lang w:bidi="en-US"/>
        </w:rPr>
        <w:t>Bellino</w:t>
      </w:r>
      <w:proofErr w:type="spellEnd"/>
      <w:r w:rsidRPr="00FB7753">
        <w:rPr>
          <w:rFonts w:ascii="Garamond" w:hAnsi="Garamond"/>
          <w:color w:val="222222"/>
          <w:lang w:bidi="en-US"/>
        </w:rPr>
        <w:t xml:space="preserve">, Michelle J. </w:t>
      </w:r>
      <w:r w:rsidRPr="00FB7753">
        <w:rPr>
          <w:rFonts w:ascii="Garamond" w:hAnsi="Garamond"/>
          <w:color w:val="262626"/>
          <w:lang w:eastAsia="ja-JP"/>
        </w:rPr>
        <w:t>2015</w:t>
      </w:r>
      <w:r w:rsidRPr="00FB7753">
        <w:rPr>
          <w:rFonts w:ascii="Garamond" w:hAnsi="Garamond"/>
          <w:color w:val="333333"/>
          <w:shd w:val="clear" w:color="auto" w:fill="FFFFFF"/>
        </w:rPr>
        <w:t>. “</w:t>
      </w:r>
      <w:r w:rsidRPr="00FB7753">
        <w:rPr>
          <w:rFonts w:ascii="Garamond" w:hAnsi="Garamond"/>
        </w:rPr>
        <w:t xml:space="preserve">The risks we are willing to take: Youth civic development in ‘postwar’ Guatemala.” </w:t>
      </w:r>
      <w:r w:rsidRPr="00FB7753">
        <w:rPr>
          <w:rFonts w:ascii="Garamond" w:hAnsi="Garamond"/>
          <w:i/>
        </w:rPr>
        <w:t xml:space="preserve">Harvard Educational Review </w:t>
      </w:r>
      <w:r w:rsidRPr="00FB7753">
        <w:rPr>
          <w:rFonts w:ascii="Garamond" w:hAnsi="Garamond"/>
        </w:rPr>
        <w:t xml:space="preserve">85 (4): 537-561. </w:t>
      </w:r>
    </w:p>
    <w:p w14:paraId="2AFAB362" w14:textId="77777777" w:rsidR="003F3E39" w:rsidRPr="00FB7753" w:rsidRDefault="003F3E39" w:rsidP="003F3E39">
      <w:pPr>
        <w:ind w:left="720" w:hanging="720"/>
        <w:contextualSpacing/>
        <w:rPr>
          <w:rFonts w:ascii="Garamond" w:hAnsi="Garamond"/>
        </w:rPr>
      </w:pPr>
      <w:proofErr w:type="spellStart"/>
      <w:r w:rsidRPr="00FB7753">
        <w:rPr>
          <w:rFonts w:ascii="Garamond" w:hAnsi="Garamond"/>
          <w:color w:val="222222"/>
          <w:lang w:bidi="en-US"/>
        </w:rPr>
        <w:t>Bellino</w:t>
      </w:r>
      <w:proofErr w:type="spellEnd"/>
      <w:r w:rsidRPr="00FB7753">
        <w:rPr>
          <w:rFonts w:ascii="Garamond" w:hAnsi="Garamond"/>
          <w:color w:val="222222"/>
          <w:lang w:bidi="en-US"/>
        </w:rPr>
        <w:t xml:space="preserve">, Michelle J. </w:t>
      </w:r>
      <w:r w:rsidRPr="00FB7753">
        <w:rPr>
          <w:rFonts w:ascii="Garamond" w:hAnsi="Garamond"/>
          <w:color w:val="262626"/>
          <w:lang w:eastAsia="ja-JP"/>
        </w:rPr>
        <w:t>2016</w:t>
      </w:r>
      <w:r w:rsidRPr="00FB7753">
        <w:rPr>
          <w:rFonts w:ascii="Garamond" w:hAnsi="Garamond"/>
          <w:color w:val="333333"/>
          <w:shd w:val="clear" w:color="auto" w:fill="FFFFFF"/>
        </w:rPr>
        <w:t>. “</w:t>
      </w:r>
      <w:r w:rsidRPr="00FB7753">
        <w:rPr>
          <w:rFonts w:ascii="Garamond" w:hAnsi="Garamond"/>
        </w:rPr>
        <w:t xml:space="preserve">So that we do not fall again: History education and citizenship in ‘postwar’ Guatemala.” </w:t>
      </w:r>
      <w:r w:rsidRPr="00FB7753">
        <w:rPr>
          <w:rFonts w:ascii="Garamond" w:hAnsi="Garamond"/>
          <w:i/>
        </w:rPr>
        <w:t xml:space="preserve">Comparative Education Review </w:t>
      </w:r>
      <w:r w:rsidRPr="00FB7753">
        <w:rPr>
          <w:rFonts w:ascii="Garamond" w:hAnsi="Garamond"/>
        </w:rPr>
        <w:t>60 (1): 58-79.</w:t>
      </w:r>
    </w:p>
    <w:p w14:paraId="6EC07AEF" w14:textId="77777777" w:rsidR="003F3E39" w:rsidRPr="00FB7753" w:rsidRDefault="003F3E39" w:rsidP="003F3E39">
      <w:pPr>
        <w:ind w:left="720" w:hanging="720"/>
        <w:contextualSpacing/>
        <w:rPr>
          <w:rFonts w:ascii="Garamond" w:hAnsi="Garamond"/>
          <w:noProof/>
        </w:rPr>
      </w:pPr>
      <w:proofErr w:type="spellStart"/>
      <w:r w:rsidRPr="00FB7753">
        <w:rPr>
          <w:rFonts w:ascii="Garamond" w:hAnsi="Garamond"/>
          <w:color w:val="222222"/>
          <w:lang w:bidi="en-US"/>
        </w:rPr>
        <w:t>Bellino</w:t>
      </w:r>
      <w:proofErr w:type="spellEnd"/>
      <w:r w:rsidRPr="00FB7753">
        <w:rPr>
          <w:rFonts w:ascii="Garamond" w:hAnsi="Garamond"/>
          <w:color w:val="222222"/>
          <w:lang w:bidi="en-US"/>
        </w:rPr>
        <w:t xml:space="preserve">, Michelle J. </w:t>
      </w:r>
      <w:r w:rsidRPr="00FB7753">
        <w:rPr>
          <w:rFonts w:ascii="Garamond" w:hAnsi="Garamond"/>
          <w:color w:val="262626"/>
          <w:lang w:eastAsia="ja-JP"/>
        </w:rPr>
        <w:t>2017</w:t>
      </w:r>
      <w:r w:rsidRPr="00FB7753">
        <w:rPr>
          <w:rFonts w:ascii="Garamond" w:hAnsi="Garamond"/>
          <w:color w:val="333333"/>
          <w:shd w:val="clear" w:color="auto" w:fill="FFFFFF"/>
        </w:rPr>
        <w:t xml:space="preserve">. </w:t>
      </w:r>
      <w:r w:rsidRPr="00FB7753">
        <w:rPr>
          <w:rFonts w:ascii="Garamond" w:hAnsi="Garamond"/>
          <w:i/>
          <w:noProof/>
        </w:rPr>
        <w:t>Youth in Postwar Guatemala: Education and Civic Identity in Transition</w:t>
      </w:r>
      <w:r w:rsidRPr="00FB7753">
        <w:rPr>
          <w:rFonts w:ascii="Garamond" w:hAnsi="Garamond"/>
          <w:noProof/>
        </w:rPr>
        <w:t>. New Brunswick, NJ: Rutgers University Press.</w:t>
      </w:r>
    </w:p>
    <w:p w14:paraId="693915D6" w14:textId="77777777" w:rsidR="003F3E39" w:rsidRPr="00FB7753" w:rsidRDefault="003F3E39" w:rsidP="003F3E39">
      <w:pPr>
        <w:ind w:left="720" w:hanging="720"/>
        <w:contextualSpacing/>
        <w:rPr>
          <w:rFonts w:ascii="Garamond" w:hAnsi="Garamond"/>
          <w:b/>
          <w:i/>
        </w:rPr>
      </w:pPr>
      <w:proofErr w:type="spellStart"/>
      <w:r w:rsidRPr="00FB7753">
        <w:rPr>
          <w:rFonts w:ascii="Garamond" w:hAnsi="Garamond"/>
          <w:color w:val="222222"/>
          <w:lang w:bidi="en-US"/>
        </w:rPr>
        <w:t>Bellino</w:t>
      </w:r>
      <w:proofErr w:type="spellEnd"/>
      <w:r w:rsidRPr="00FB7753">
        <w:rPr>
          <w:rFonts w:ascii="Garamond" w:hAnsi="Garamond"/>
          <w:color w:val="222222"/>
          <w:lang w:bidi="en-US"/>
        </w:rPr>
        <w:t xml:space="preserve">, Michelle J., Julia Paulson, and Elizabeth </w:t>
      </w:r>
      <w:r w:rsidRPr="00FB7753">
        <w:rPr>
          <w:rFonts w:ascii="Garamond" w:hAnsi="Garamond"/>
          <w:noProof/>
        </w:rPr>
        <w:t xml:space="preserve">Anderson Worden. 2017. “Editorial: Working through difficult pasts: Toward thick democracy and transitional justice in education.” </w:t>
      </w:r>
      <w:r w:rsidRPr="00FB7753">
        <w:rPr>
          <w:rFonts w:ascii="Garamond" w:hAnsi="Garamond"/>
          <w:i/>
          <w:noProof/>
        </w:rPr>
        <w:t>Comparative Education</w:t>
      </w:r>
      <w:r w:rsidRPr="00FB7753">
        <w:rPr>
          <w:rFonts w:ascii="Garamond" w:hAnsi="Garamond"/>
          <w:noProof/>
        </w:rPr>
        <w:t xml:space="preserve"> 53 (3): 313-332.</w:t>
      </w:r>
    </w:p>
    <w:p w14:paraId="4E07AC0D"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Bénéï, Véronique. 2008. </w:t>
      </w:r>
      <w:r w:rsidRPr="00FB7753">
        <w:rPr>
          <w:rFonts w:ascii="Garamond" w:hAnsi="Garamond"/>
          <w:i/>
          <w:noProof/>
        </w:rPr>
        <w:t>Schooling Passions: Nation, History, and Language in Contemporary Western India</w:t>
      </w:r>
      <w:r w:rsidRPr="00FB7753">
        <w:rPr>
          <w:rFonts w:ascii="Garamond" w:hAnsi="Garamond"/>
          <w:noProof/>
        </w:rPr>
        <w:t>. Stanford, CA: Stanford University Press.</w:t>
      </w:r>
    </w:p>
    <w:p w14:paraId="17604B7D"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Bowman, Kirk, Fabrice Lehoucq, and James Mahoney. 2005. “Measuring political democracy.” </w:t>
      </w:r>
      <w:r w:rsidRPr="00FB7753">
        <w:rPr>
          <w:rFonts w:ascii="Garamond" w:hAnsi="Garamond"/>
          <w:i/>
          <w:noProof/>
        </w:rPr>
        <w:t xml:space="preserve">Comparative Political Studies </w:t>
      </w:r>
      <w:r w:rsidRPr="00FB7753">
        <w:rPr>
          <w:rFonts w:ascii="Garamond" w:hAnsi="Garamond"/>
          <w:noProof/>
        </w:rPr>
        <w:t xml:space="preserve">38 (8): 939-970. </w:t>
      </w:r>
    </w:p>
    <w:p w14:paraId="643CA8F0" w14:textId="77777777" w:rsidR="003F3E39" w:rsidRPr="00FB7753" w:rsidRDefault="003F3E39" w:rsidP="003F3E39">
      <w:pPr>
        <w:pStyle w:val="EndNoteBibliography"/>
        <w:ind w:left="720" w:hanging="720"/>
        <w:contextualSpacing/>
        <w:rPr>
          <w:rFonts w:ascii="Garamond" w:hAnsi="Garamond"/>
          <w:noProof/>
        </w:rPr>
      </w:pPr>
      <w:r w:rsidRPr="00FB7753">
        <w:rPr>
          <w:rFonts w:ascii="Garamond" w:hAnsi="Garamond"/>
          <w:noProof/>
        </w:rPr>
        <w:t xml:space="preserve">Bush, Kenneth D., and Diana Saltarelli. 2000. </w:t>
      </w:r>
      <w:r w:rsidRPr="00FB7753">
        <w:rPr>
          <w:rFonts w:ascii="Garamond" w:hAnsi="Garamond"/>
          <w:i/>
          <w:noProof/>
        </w:rPr>
        <w:t>The two faces of education in ethnic conflict: Towards a peacebuilding education for children</w:t>
      </w:r>
      <w:r w:rsidRPr="00FB7753">
        <w:rPr>
          <w:rFonts w:ascii="Garamond" w:hAnsi="Garamond"/>
          <w:noProof/>
        </w:rPr>
        <w:t>. Florence, Italy: Unicef International Child Development Centre, United Nations Children's Fund (UNICEF), Innocenti Research Centre.</w:t>
      </w:r>
    </w:p>
    <w:p w14:paraId="0629F7AD" w14:textId="77777777" w:rsidR="003F3E39" w:rsidRPr="00FB7753" w:rsidRDefault="003F3E39" w:rsidP="003F3E39">
      <w:pPr>
        <w:pStyle w:val="EndNoteBibliography"/>
        <w:spacing w:after="0"/>
        <w:ind w:left="720" w:hanging="720"/>
        <w:contextualSpacing/>
        <w:rPr>
          <w:rFonts w:ascii="Garamond" w:hAnsi="Garamond"/>
          <w:noProof/>
          <w:lang w:val="es-MX"/>
        </w:rPr>
      </w:pPr>
      <w:r w:rsidRPr="00FB7753">
        <w:rPr>
          <w:rFonts w:ascii="Garamond" w:hAnsi="Garamond"/>
          <w:noProof/>
          <w:lang w:val="es-MX"/>
        </w:rPr>
        <w:t xml:space="preserve">Cañada, Ernest. 2010. “Museo de la Palabra y la Imagen: memoria, identidad y cultura en El Salvador” </w:t>
      </w:r>
      <w:r w:rsidRPr="00FB7753">
        <w:rPr>
          <w:rFonts w:ascii="Garamond" w:hAnsi="Garamond"/>
          <w:i/>
          <w:noProof/>
          <w:lang w:val="es-MX"/>
        </w:rPr>
        <w:t>Reportaje MUPI</w:t>
      </w:r>
      <w:r w:rsidRPr="00FB7753">
        <w:rPr>
          <w:rFonts w:ascii="Garamond" w:hAnsi="Garamond"/>
          <w:noProof/>
          <w:lang w:val="es-MX"/>
        </w:rPr>
        <w:t xml:space="preserve">, February. http://museo.com.sv/2011/02/museo-de-la-palabra-y-la-imagen-memoria-identidad-y-cultura-en-el-salvador/. </w:t>
      </w:r>
    </w:p>
    <w:p w14:paraId="130F5E53" w14:textId="77777777" w:rsidR="003F3E39" w:rsidRPr="00FB7753" w:rsidRDefault="003F3E39" w:rsidP="003F3E39">
      <w:pPr>
        <w:ind w:left="720" w:hanging="720"/>
        <w:contextualSpacing/>
        <w:rPr>
          <w:rFonts w:ascii="Garamond" w:hAnsi="Garamond"/>
        </w:rPr>
      </w:pPr>
      <w:r w:rsidRPr="00FB7753">
        <w:rPr>
          <w:rFonts w:ascii="Garamond" w:hAnsi="Garamond"/>
          <w:noProof/>
        </w:rPr>
        <w:t>Caraway Teri L. 2004. "Inclusion and Democratization: Class, Gender, Race, and the Extension of Suffrage." Comparative Politics. 36(4): 443.</w:t>
      </w:r>
    </w:p>
    <w:p w14:paraId="4FA24BA7" w14:textId="77777777" w:rsidR="003F3E39" w:rsidRPr="00FB7753" w:rsidRDefault="003F3E39" w:rsidP="003F3E39">
      <w:pPr>
        <w:ind w:left="720" w:hanging="720"/>
        <w:contextualSpacing/>
        <w:rPr>
          <w:rFonts w:ascii="Garamond" w:hAnsi="Garamond"/>
        </w:rPr>
      </w:pPr>
      <w:proofErr w:type="spellStart"/>
      <w:r w:rsidRPr="00FB7753">
        <w:rPr>
          <w:rFonts w:ascii="Garamond" w:hAnsi="Garamond"/>
        </w:rPr>
        <w:t>Carretero</w:t>
      </w:r>
      <w:proofErr w:type="spellEnd"/>
      <w:r w:rsidRPr="00FB7753">
        <w:rPr>
          <w:rFonts w:ascii="Garamond" w:hAnsi="Garamond"/>
        </w:rPr>
        <w:t xml:space="preserve">, Mario. 2011. </w:t>
      </w:r>
      <w:r w:rsidRPr="00FB7753">
        <w:rPr>
          <w:rFonts w:ascii="Garamond" w:hAnsi="Garamond"/>
          <w:i/>
        </w:rPr>
        <w:t>Constructing Patriotism: Teaching History and Memories in Global Worlds</w:t>
      </w:r>
      <w:r w:rsidRPr="00FB7753">
        <w:rPr>
          <w:rFonts w:ascii="Garamond" w:hAnsi="Garamond"/>
        </w:rPr>
        <w:t>. Charlotte, NC: Information Age.</w:t>
      </w:r>
    </w:p>
    <w:p w14:paraId="203D13AC" w14:textId="77777777" w:rsidR="003F3E39" w:rsidRPr="00FB7753" w:rsidRDefault="003F3E39" w:rsidP="003F3E39">
      <w:pPr>
        <w:pStyle w:val="EndNoteBibliography"/>
        <w:spacing w:after="0"/>
        <w:ind w:left="720" w:hanging="720"/>
        <w:contextualSpacing/>
        <w:rPr>
          <w:rFonts w:ascii="Garamond" w:hAnsi="Garamond"/>
          <w:noProof/>
          <w:lang w:val="es-MX"/>
        </w:rPr>
      </w:pPr>
      <w:r w:rsidRPr="00FB7753">
        <w:rPr>
          <w:rFonts w:ascii="Garamond" w:hAnsi="Garamond"/>
          <w:noProof/>
        </w:rPr>
        <w:lastRenderedPageBreak/>
        <w:t xml:space="preserve">Ching, Erik. 1998. “In Search of the Party: The Communist Party, the Comintern, and the Peasant Rebellion of 1932 in El Salvador.” </w:t>
      </w:r>
      <w:r w:rsidRPr="00FB7753">
        <w:rPr>
          <w:rFonts w:ascii="Garamond" w:hAnsi="Garamond"/>
          <w:i/>
          <w:noProof/>
          <w:lang w:val="es-MX"/>
        </w:rPr>
        <w:t xml:space="preserve">The Americas </w:t>
      </w:r>
      <w:r w:rsidRPr="00FB7753">
        <w:rPr>
          <w:rFonts w:ascii="Garamond" w:hAnsi="Garamond"/>
          <w:noProof/>
          <w:lang w:val="es-MX"/>
        </w:rPr>
        <w:t xml:space="preserve">55 (2): 204-239. </w:t>
      </w:r>
    </w:p>
    <w:p w14:paraId="62286455" w14:textId="77777777" w:rsidR="003F3E39" w:rsidRPr="00FB7753" w:rsidRDefault="003F3E39" w:rsidP="003F3E39">
      <w:pPr>
        <w:pStyle w:val="EndNoteBibliography"/>
        <w:spacing w:after="0"/>
        <w:ind w:left="720" w:hanging="720"/>
        <w:contextualSpacing/>
        <w:rPr>
          <w:rFonts w:ascii="Garamond" w:hAnsi="Garamond"/>
          <w:noProof/>
          <w:lang w:val="es-MX"/>
        </w:rPr>
      </w:pPr>
      <w:r w:rsidRPr="00FB7753">
        <w:rPr>
          <w:rFonts w:ascii="Garamond" w:hAnsi="Garamond"/>
          <w:noProof/>
          <w:lang w:val="es-MX"/>
        </w:rPr>
        <w:t xml:space="preserve">Ching, Erik. 2011. “El levantamiento de 1932.” In </w:t>
      </w:r>
      <w:r w:rsidRPr="00FB7753">
        <w:rPr>
          <w:rFonts w:ascii="Garamond" w:hAnsi="Garamond"/>
          <w:i/>
          <w:noProof/>
          <w:lang w:val="es-MX"/>
        </w:rPr>
        <w:t>Historia Mínima: 1811-2011</w:t>
      </w:r>
      <w:r w:rsidRPr="00FB7753">
        <w:rPr>
          <w:rFonts w:ascii="Garamond" w:hAnsi="Garamond"/>
          <w:noProof/>
          <w:lang w:val="es-MX"/>
        </w:rPr>
        <w:t>, edited by Erick Rivera Orellana and Secretaría de Cultura de la Presidencia de la República El Salvador, 63-82. San Salvador: Secretaria de Cultura de la Presidencia.</w:t>
      </w:r>
    </w:p>
    <w:p w14:paraId="429DE938" w14:textId="77777777" w:rsidR="003F3E39" w:rsidRPr="00FB7753" w:rsidRDefault="003F3E39" w:rsidP="003F3E39">
      <w:pPr>
        <w:pStyle w:val="EndNoteBibliography"/>
        <w:spacing w:after="0"/>
        <w:contextualSpacing/>
        <w:rPr>
          <w:rFonts w:ascii="Garamond" w:hAnsi="Garamond"/>
          <w:noProof/>
        </w:rPr>
      </w:pPr>
      <w:r w:rsidRPr="00FB7753">
        <w:rPr>
          <w:rFonts w:ascii="Garamond" w:hAnsi="Garamond"/>
          <w:noProof/>
          <w:lang w:val="es-MX"/>
        </w:rPr>
        <w:t xml:space="preserve">Ching, Erik. 2016. </w:t>
      </w:r>
      <w:r w:rsidRPr="00FB7753">
        <w:rPr>
          <w:rFonts w:ascii="Garamond" w:hAnsi="Garamond"/>
          <w:noProof/>
        </w:rPr>
        <w:t xml:space="preserve">Personal communication with author, June 7. </w:t>
      </w:r>
    </w:p>
    <w:p w14:paraId="3F08E91A" w14:textId="77777777" w:rsidR="003F3E39" w:rsidRPr="00FB7753" w:rsidRDefault="003F3E39" w:rsidP="003F3E39">
      <w:pPr>
        <w:ind w:left="720" w:hanging="720"/>
        <w:contextualSpacing/>
        <w:rPr>
          <w:rFonts w:ascii="Garamond" w:hAnsi="Garamond"/>
          <w:lang w:val="es-MX" w:bidi="en-US"/>
        </w:rPr>
      </w:pPr>
      <w:r w:rsidRPr="00FB7753">
        <w:rPr>
          <w:rFonts w:ascii="Garamond" w:hAnsi="Garamond"/>
          <w:lang w:bidi="en-US"/>
        </w:rPr>
        <w:t>Cole, A. Elizabeth, and Karen Murphy. 2007</w:t>
      </w:r>
      <w:r w:rsidRPr="00FB7753">
        <w:rPr>
          <w:rFonts w:ascii="Garamond" w:hAnsi="Garamond"/>
          <w:lang w:bidi="en-US"/>
        </w:rPr>
        <w:tab/>
        <w:t xml:space="preserve">. “History education reform, transitional justice, and transformation of identities.” </w:t>
      </w:r>
      <w:r w:rsidRPr="00FB7753">
        <w:rPr>
          <w:rFonts w:ascii="Garamond" w:hAnsi="Garamond"/>
          <w:i/>
          <w:lang w:val="es-ES" w:bidi="en-US"/>
        </w:rPr>
        <w:t xml:space="preserve">International Center </w:t>
      </w:r>
      <w:proofErr w:type="spellStart"/>
      <w:r w:rsidRPr="00FB7753">
        <w:rPr>
          <w:rFonts w:ascii="Garamond" w:hAnsi="Garamond"/>
          <w:i/>
          <w:lang w:val="es-ES" w:bidi="en-US"/>
        </w:rPr>
        <w:t>for</w:t>
      </w:r>
      <w:proofErr w:type="spellEnd"/>
      <w:r w:rsidRPr="00FB7753">
        <w:rPr>
          <w:rFonts w:ascii="Garamond" w:hAnsi="Garamond"/>
          <w:i/>
          <w:lang w:val="es-ES" w:bidi="en-US"/>
        </w:rPr>
        <w:t xml:space="preserve"> </w:t>
      </w:r>
      <w:proofErr w:type="spellStart"/>
      <w:r w:rsidRPr="00FB7753">
        <w:rPr>
          <w:rFonts w:ascii="Garamond" w:hAnsi="Garamond"/>
          <w:i/>
          <w:lang w:val="es-ES" w:bidi="en-US"/>
        </w:rPr>
        <w:t>Transitional</w:t>
      </w:r>
      <w:proofErr w:type="spellEnd"/>
      <w:r w:rsidRPr="00FB7753">
        <w:rPr>
          <w:rFonts w:ascii="Garamond" w:hAnsi="Garamond"/>
          <w:i/>
          <w:lang w:val="es-ES" w:bidi="en-US"/>
        </w:rPr>
        <w:t xml:space="preserve"> </w:t>
      </w:r>
      <w:proofErr w:type="spellStart"/>
      <w:r w:rsidRPr="00FB7753">
        <w:rPr>
          <w:rFonts w:ascii="Garamond" w:hAnsi="Garamond"/>
          <w:i/>
          <w:lang w:val="es-ES" w:bidi="en-US"/>
        </w:rPr>
        <w:t>Justice</w:t>
      </w:r>
      <w:proofErr w:type="spellEnd"/>
      <w:r w:rsidRPr="00FB7753">
        <w:rPr>
          <w:rFonts w:ascii="Garamond" w:hAnsi="Garamond"/>
          <w:i/>
          <w:lang w:val="es-ES" w:bidi="en-US"/>
        </w:rPr>
        <w:t xml:space="preserve"> </w:t>
      </w:r>
      <w:r w:rsidRPr="00FB7753">
        <w:rPr>
          <w:rFonts w:ascii="Garamond" w:hAnsi="Garamond"/>
          <w:lang w:val="es-ES" w:bidi="en-US"/>
        </w:rPr>
        <w:t>1 (1): 115-137.</w:t>
      </w:r>
    </w:p>
    <w:p w14:paraId="53E36987" w14:textId="77777777" w:rsidR="003F3E39" w:rsidRPr="00FB7753" w:rsidRDefault="003F3E39" w:rsidP="003F3E39">
      <w:pPr>
        <w:ind w:left="720" w:hanging="720"/>
        <w:contextualSpacing/>
        <w:rPr>
          <w:rFonts w:ascii="Garamond" w:hAnsi="Garamond"/>
          <w:lang w:val="es-ES"/>
        </w:rPr>
      </w:pPr>
      <w:r w:rsidRPr="00FB7753">
        <w:rPr>
          <w:rFonts w:ascii="Garamond" w:hAnsi="Garamond"/>
          <w:lang w:val="es-ES"/>
        </w:rPr>
        <w:t xml:space="preserve">CEH (Comisión para el Esclarecimiento Histórico). 1999. </w:t>
      </w:r>
      <w:r w:rsidRPr="00FB7753">
        <w:rPr>
          <w:rFonts w:ascii="Garamond" w:hAnsi="Garamond"/>
          <w:i/>
          <w:lang w:val="es-ES"/>
        </w:rPr>
        <w:t xml:space="preserve">Guatemala: Memoria del silencio. </w:t>
      </w:r>
      <w:r w:rsidRPr="00FB7753">
        <w:rPr>
          <w:rFonts w:ascii="Garamond" w:hAnsi="Garamond"/>
          <w:lang w:val="es-ES"/>
        </w:rPr>
        <w:t>Guatemala: Comisión para el Esclarecimiento Histórico.</w:t>
      </w:r>
    </w:p>
    <w:p w14:paraId="56544D23" w14:textId="77777777" w:rsidR="003F3E39" w:rsidRPr="00FB7753" w:rsidRDefault="003F3E39" w:rsidP="003F3E39">
      <w:pPr>
        <w:ind w:left="720" w:hanging="720"/>
        <w:contextualSpacing/>
        <w:rPr>
          <w:rFonts w:ascii="Garamond" w:hAnsi="Garamond"/>
          <w:lang w:val="es-MX"/>
        </w:rPr>
      </w:pPr>
      <w:r w:rsidRPr="00FB7753">
        <w:rPr>
          <w:rFonts w:ascii="Garamond" w:hAnsi="Garamond"/>
          <w:lang w:val="es-MX"/>
        </w:rPr>
        <w:t xml:space="preserve">Contreras, Daniel, C.A. Mendoza, J.C. Barrios, E. Soto, C. Castillo, I. Piedra Santa, E. de Castañeda, and G.A. Monterosso. 2008. </w:t>
      </w:r>
      <w:r w:rsidRPr="00FB7753">
        <w:rPr>
          <w:rFonts w:ascii="Garamond" w:hAnsi="Garamond"/>
          <w:i/>
          <w:lang w:val="es-MX"/>
        </w:rPr>
        <w:t>Guatemala ayer y hoy</w:t>
      </w:r>
      <w:r w:rsidRPr="00FB7753">
        <w:rPr>
          <w:rFonts w:ascii="Garamond" w:hAnsi="Garamond"/>
          <w:lang w:val="es-MX"/>
        </w:rPr>
        <w:t>. Guatemala: Piedra Santa.</w:t>
      </w:r>
    </w:p>
    <w:p w14:paraId="7B202389" w14:textId="77777777" w:rsidR="003F3E39" w:rsidRPr="00FB7753" w:rsidRDefault="003F3E39" w:rsidP="003F3E39">
      <w:pPr>
        <w:ind w:left="720" w:hanging="720"/>
        <w:contextualSpacing/>
        <w:rPr>
          <w:rFonts w:ascii="Garamond" w:hAnsi="Garamond"/>
          <w:color w:val="262626"/>
          <w:lang w:val="es-MX" w:eastAsia="ja-JP"/>
        </w:rPr>
      </w:pPr>
      <w:r w:rsidRPr="00FB7753">
        <w:rPr>
          <w:rFonts w:ascii="Garamond" w:hAnsi="Garamond"/>
          <w:color w:val="262626"/>
          <w:lang w:val="es-MX" w:eastAsia="ja-JP"/>
        </w:rPr>
        <w:t xml:space="preserve">Cortina, Regina, ed. 2014. </w:t>
      </w:r>
      <w:r w:rsidRPr="00FB7753">
        <w:rPr>
          <w:rFonts w:ascii="Garamond" w:hAnsi="Garamond"/>
          <w:i/>
          <w:color w:val="262626"/>
          <w:lang w:eastAsia="ja-JP"/>
        </w:rPr>
        <w:t>The Education of Indigenous Citizens in Latin America</w:t>
      </w:r>
      <w:r w:rsidRPr="00FB7753">
        <w:rPr>
          <w:rFonts w:ascii="Garamond" w:hAnsi="Garamond"/>
          <w:color w:val="262626"/>
          <w:lang w:eastAsia="ja-JP"/>
        </w:rPr>
        <w:t xml:space="preserve">. </w:t>
      </w:r>
      <w:r w:rsidRPr="00FB7753">
        <w:rPr>
          <w:rFonts w:ascii="Garamond" w:hAnsi="Garamond"/>
          <w:color w:val="262626"/>
          <w:lang w:val="es-MX" w:eastAsia="ja-JP"/>
        </w:rPr>
        <w:t>Bristol, UK: Multilingual Matters.</w:t>
      </w:r>
    </w:p>
    <w:p w14:paraId="1B002739" w14:textId="77777777" w:rsidR="003F3E39" w:rsidRPr="00FB7753" w:rsidRDefault="003F3E39" w:rsidP="003F3E39">
      <w:pPr>
        <w:ind w:left="720" w:hanging="720"/>
        <w:contextualSpacing/>
        <w:rPr>
          <w:rFonts w:ascii="Garamond" w:hAnsi="Garamond"/>
        </w:rPr>
      </w:pPr>
      <w:r w:rsidRPr="00FB7753">
        <w:rPr>
          <w:rFonts w:ascii="Garamond" w:hAnsi="Garamond"/>
          <w:lang w:val="es-MX"/>
        </w:rPr>
        <w:t xml:space="preserve">Curruchich Cúmez, Arnoldo. 2006. </w:t>
      </w:r>
      <w:r w:rsidRPr="00FB7753">
        <w:rPr>
          <w:rFonts w:ascii="Garamond" w:hAnsi="Garamond"/>
          <w:i/>
          <w:lang w:val="es-MX"/>
        </w:rPr>
        <w:t>Nuestra memoria, nuestra historia: San Juan Comalapa</w:t>
      </w:r>
      <w:r w:rsidRPr="00FB7753">
        <w:rPr>
          <w:rFonts w:ascii="Garamond" w:hAnsi="Garamond"/>
          <w:lang w:val="es-MX"/>
        </w:rPr>
        <w:t xml:space="preserve">. </w:t>
      </w:r>
      <w:proofErr w:type="spellStart"/>
      <w:r w:rsidRPr="00FB7753">
        <w:rPr>
          <w:rFonts w:ascii="Garamond" w:hAnsi="Garamond"/>
        </w:rPr>
        <w:t>Comalapa</w:t>
      </w:r>
      <w:proofErr w:type="spellEnd"/>
      <w:r w:rsidRPr="00FB7753">
        <w:rPr>
          <w:rFonts w:ascii="Garamond" w:hAnsi="Garamond"/>
        </w:rPr>
        <w:t xml:space="preserve">, Guatemala: </w:t>
      </w:r>
      <w:proofErr w:type="spellStart"/>
      <w:r w:rsidRPr="00FB7753">
        <w:rPr>
          <w:rFonts w:ascii="Garamond" w:hAnsi="Garamond"/>
        </w:rPr>
        <w:t>Coordinadora</w:t>
      </w:r>
      <w:proofErr w:type="spellEnd"/>
      <w:r w:rsidRPr="00FB7753">
        <w:rPr>
          <w:rFonts w:ascii="Garamond" w:hAnsi="Garamond"/>
        </w:rPr>
        <w:t xml:space="preserve"> </w:t>
      </w:r>
      <w:proofErr w:type="spellStart"/>
      <w:r w:rsidRPr="00FB7753">
        <w:rPr>
          <w:rFonts w:ascii="Garamond" w:hAnsi="Garamond"/>
        </w:rPr>
        <w:t>Juvenil</w:t>
      </w:r>
      <w:proofErr w:type="spellEnd"/>
      <w:r w:rsidRPr="00FB7753">
        <w:rPr>
          <w:rFonts w:ascii="Garamond" w:hAnsi="Garamond"/>
        </w:rPr>
        <w:t xml:space="preserve"> de </w:t>
      </w:r>
      <w:proofErr w:type="spellStart"/>
      <w:r w:rsidRPr="00FB7753">
        <w:rPr>
          <w:rFonts w:ascii="Garamond" w:hAnsi="Garamond"/>
        </w:rPr>
        <w:t>Comalapa</w:t>
      </w:r>
      <w:proofErr w:type="spellEnd"/>
      <w:r w:rsidRPr="00FB7753">
        <w:rPr>
          <w:rFonts w:ascii="Garamond" w:hAnsi="Garamond"/>
        </w:rPr>
        <w:t xml:space="preserve">.  </w:t>
      </w:r>
    </w:p>
    <w:p w14:paraId="6FED7146"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Dahl, Robert A. 1971. </w:t>
      </w:r>
      <w:r w:rsidRPr="00FB7753">
        <w:rPr>
          <w:rFonts w:ascii="Garamond" w:hAnsi="Garamond"/>
          <w:i/>
          <w:noProof/>
        </w:rPr>
        <w:t>Polyarchy: Participation and Opposition</w:t>
      </w:r>
      <w:r w:rsidRPr="00FB7753">
        <w:rPr>
          <w:rFonts w:ascii="Garamond" w:hAnsi="Garamond"/>
          <w:noProof/>
        </w:rPr>
        <w:t>. New Haven and London: Yale University Press.</w:t>
      </w:r>
    </w:p>
    <w:p w14:paraId="031F73C8" w14:textId="77777777" w:rsidR="003F3E39" w:rsidRPr="00FB7753" w:rsidRDefault="003F3E39" w:rsidP="003F3E39">
      <w:pPr>
        <w:ind w:left="720" w:hanging="720"/>
        <w:contextualSpacing/>
        <w:rPr>
          <w:rFonts w:ascii="Garamond" w:hAnsi="Garamond"/>
        </w:rPr>
      </w:pPr>
      <w:r w:rsidRPr="00FB7753">
        <w:rPr>
          <w:rFonts w:ascii="Garamond" w:hAnsi="Garamond"/>
        </w:rPr>
        <w:t xml:space="preserve">Davies, Lynn. 2004. </w:t>
      </w:r>
      <w:r w:rsidRPr="00FB7753">
        <w:rPr>
          <w:rFonts w:ascii="Garamond" w:hAnsi="Garamond"/>
          <w:i/>
        </w:rPr>
        <w:t>Education and Conflict: Complexity and Chaos</w:t>
      </w:r>
      <w:r w:rsidRPr="00FB7753">
        <w:rPr>
          <w:rFonts w:ascii="Garamond" w:hAnsi="Garamond"/>
        </w:rPr>
        <w:t>. London: Routledge.</w:t>
      </w:r>
    </w:p>
    <w:p w14:paraId="68A9821E"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DeLugan, Robin Maria. 2012. </w:t>
      </w:r>
      <w:r w:rsidRPr="00FB7753">
        <w:rPr>
          <w:rFonts w:ascii="Garamond" w:hAnsi="Garamond"/>
          <w:i/>
          <w:noProof/>
        </w:rPr>
        <w:t>Reimagining National Belonging: Post-civil War El Salvador in a Global Context</w:t>
      </w:r>
      <w:r w:rsidRPr="00FB7753">
        <w:rPr>
          <w:rFonts w:ascii="Garamond" w:hAnsi="Garamond"/>
          <w:noProof/>
        </w:rPr>
        <w:t>. Tucson: University of Arizona Press.</w:t>
      </w:r>
    </w:p>
    <w:p w14:paraId="49F19729" w14:textId="77777777" w:rsidR="003F3E39" w:rsidRPr="00FB7753" w:rsidRDefault="003F3E39" w:rsidP="003F3E39">
      <w:pPr>
        <w:pStyle w:val="EndNoteBibliography"/>
        <w:spacing w:after="0"/>
        <w:ind w:left="720" w:hanging="720"/>
        <w:contextualSpacing/>
        <w:rPr>
          <w:rFonts w:ascii="Garamond" w:hAnsi="Garamond"/>
          <w:noProof/>
          <w:lang w:val="es-MX"/>
        </w:rPr>
      </w:pPr>
      <w:r w:rsidRPr="00FB7753">
        <w:rPr>
          <w:rFonts w:ascii="Garamond" w:hAnsi="Garamond"/>
          <w:noProof/>
        </w:rPr>
        <w:t xml:space="preserve">Doorenspleet, Renske. 2000. Reassessing the Three Waves of Democratization. </w:t>
      </w:r>
      <w:r w:rsidRPr="00FB7753">
        <w:rPr>
          <w:rFonts w:ascii="Garamond" w:hAnsi="Garamond"/>
          <w:i/>
          <w:noProof/>
          <w:lang w:val="es-MX"/>
        </w:rPr>
        <w:t xml:space="preserve">World Politics </w:t>
      </w:r>
      <w:r w:rsidRPr="00FB7753">
        <w:rPr>
          <w:rFonts w:ascii="Garamond" w:hAnsi="Garamond"/>
          <w:noProof/>
          <w:lang w:val="es-MX"/>
        </w:rPr>
        <w:t xml:space="preserve">52: 384-406. </w:t>
      </w:r>
    </w:p>
    <w:p w14:paraId="5440DDB4" w14:textId="77777777" w:rsidR="003F3E39" w:rsidRPr="00FB7753" w:rsidRDefault="003F3E39" w:rsidP="003F3E39">
      <w:pPr>
        <w:pStyle w:val="EndNoteBibliography"/>
        <w:spacing w:after="0"/>
        <w:ind w:left="720" w:hanging="720"/>
        <w:contextualSpacing/>
        <w:rPr>
          <w:rFonts w:ascii="Garamond" w:hAnsi="Garamond"/>
          <w:noProof/>
          <w:lang w:val="es-MX"/>
        </w:rPr>
      </w:pPr>
      <w:r w:rsidRPr="00FB7753">
        <w:rPr>
          <w:rFonts w:ascii="Garamond" w:hAnsi="Garamond"/>
          <w:noProof/>
          <w:lang w:val="es-MX"/>
        </w:rPr>
        <w:t>Dubón, Mario Juárez. 2011. Herederos de Cushcatan. http://vimeo.com/30330674.</w:t>
      </w:r>
    </w:p>
    <w:p w14:paraId="57862C1D" w14:textId="77777777" w:rsidR="003F3E39" w:rsidRPr="00FB7753" w:rsidRDefault="003F3E39" w:rsidP="003F3E39">
      <w:pPr>
        <w:ind w:left="720" w:hanging="720"/>
        <w:contextualSpacing/>
        <w:rPr>
          <w:rFonts w:ascii="Garamond" w:hAnsi="Garamond"/>
        </w:rPr>
      </w:pPr>
      <w:r w:rsidRPr="00FB7753">
        <w:rPr>
          <w:rFonts w:ascii="Garamond" w:hAnsi="Garamond"/>
        </w:rPr>
        <w:t xml:space="preserve">Fromm, Annette B., Viv Golding, and Per B. </w:t>
      </w:r>
      <w:proofErr w:type="spellStart"/>
      <w:r w:rsidRPr="00FB7753">
        <w:rPr>
          <w:rFonts w:ascii="Garamond" w:hAnsi="Garamond"/>
        </w:rPr>
        <w:t>Rekdal</w:t>
      </w:r>
      <w:proofErr w:type="spellEnd"/>
      <w:r w:rsidRPr="00FB7753">
        <w:rPr>
          <w:rFonts w:ascii="Garamond" w:hAnsi="Garamond"/>
        </w:rPr>
        <w:t xml:space="preserve"> (Eds.). 2014. </w:t>
      </w:r>
      <w:r w:rsidRPr="00FB7753">
        <w:rPr>
          <w:rFonts w:ascii="Garamond" w:hAnsi="Garamond"/>
          <w:i/>
        </w:rPr>
        <w:t>Museums and Truth</w:t>
      </w:r>
      <w:r w:rsidRPr="00FB7753">
        <w:rPr>
          <w:rFonts w:ascii="Garamond" w:hAnsi="Garamond"/>
        </w:rPr>
        <w:t>. Newcastle: Cambridge Scholars Publishing.</w:t>
      </w:r>
    </w:p>
    <w:p w14:paraId="515739B0"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Gellman, Mneesha. 2015. “Teaching silence in the schoolroom: Whither national history in Sierra Leone and El Salvador?” </w:t>
      </w:r>
      <w:r w:rsidRPr="00FB7753">
        <w:rPr>
          <w:rFonts w:ascii="Garamond" w:hAnsi="Garamond"/>
          <w:i/>
          <w:noProof/>
        </w:rPr>
        <w:t xml:space="preserve">Third World Quarterly </w:t>
      </w:r>
      <w:r w:rsidRPr="00FB7753">
        <w:rPr>
          <w:rFonts w:ascii="Garamond" w:hAnsi="Garamond"/>
          <w:noProof/>
        </w:rPr>
        <w:t xml:space="preserve">36 (1): 147-161. </w:t>
      </w:r>
    </w:p>
    <w:p w14:paraId="1A4CF705"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Gellman, Mneesha. 2017. </w:t>
      </w:r>
      <w:r w:rsidRPr="00FB7753">
        <w:rPr>
          <w:rFonts w:ascii="Garamond" w:hAnsi="Garamond"/>
          <w:i/>
          <w:noProof/>
        </w:rPr>
        <w:t>Democratization and Memories of Violence: Ethnic Minority Rights Movements in Mexico, Turkey, and El Salvador</w:t>
      </w:r>
      <w:r w:rsidRPr="00FB7753">
        <w:rPr>
          <w:rFonts w:ascii="Garamond" w:hAnsi="Garamond"/>
          <w:noProof/>
        </w:rPr>
        <w:t>. Oxfordshire, UK: Routledge.</w:t>
      </w:r>
    </w:p>
    <w:p w14:paraId="15AD4BBE" w14:textId="77777777" w:rsidR="003F3E39" w:rsidRPr="00FB7753" w:rsidRDefault="003F3E39" w:rsidP="003F3E39">
      <w:pPr>
        <w:pStyle w:val="EndnoteText"/>
        <w:ind w:left="720" w:hanging="720"/>
        <w:contextualSpacing/>
        <w:rPr>
          <w:rFonts w:ascii="Garamond" w:hAnsi="Garamond"/>
          <w:color w:val="1A1A1A"/>
          <w:lang w:eastAsia="ja-JP"/>
        </w:rPr>
      </w:pPr>
      <w:r w:rsidRPr="00FB7753">
        <w:rPr>
          <w:rFonts w:ascii="Garamond" w:hAnsi="Garamond"/>
          <w:color w:val="1A1A1A"/>
          <w:lang w:eastAsia="ja-JP"/>
        </w:rPr>
        <w:t xml:space="preserve">Goldman, Francisco. 2007. </w:t>
      </w:r>
      <w:r w:rsidRPr="00FB7753">
        <w:rPr>
          <w:rFonts w:ascii="Garamond" w:hAnsi="Garamond"/>
          <w:i/>
          <w:color w:val="1A1A1A"/>
          <w:lang w:eastAsia="ja-JP"/>
        </w:rPr>
        <w:t xml:space="preserve">The Art of Political Murder: Who killed the Bishop? </w:t>
      </w:r>
      <w:r w:rsidRPr="00FB7753">
        <w:rPr>
          <w:rFonts w:ascii="Garamond" w:hAnsi="Garamond"/>
          <w:color w:val="1A1A1A"/>
          <w:lang w:eastAsia="ja-JP"/>
        </w:rPr>
        <w:t>New York: Grove Press.</w:t>
      </w:r>
    </w:p>
    <w:p w14:paraId="343F7218" w14:textId="77777777" w:rsidR="003F3E39" w:rsidRPr="00FB7753" w:rsidRDefault="003F3E39" w:rsidP="003F3E39">
      <w:pPr>
        <w:pStyle w:val="EndnoteText"/>
        <w:ind w:left="720" w:hanging="720"/>
        <w:contextualSpacing/>
        <w:rPr>
          <w:rFonts w:ascii="Garamond" w:hAnsi="Garamond"/>
          <w:color w:val="1A1A1A"/>
          <w:lang w:eastAsia="ja-JP"/>
        </w:rPr>
      </w:pPr>
      <w:r w:rsidRPr="00FB7753">
        <w:rPr>
          <w:rFonts w:ascii="Garamond" w:hAnsi="Garamond"/>
          <w:color w:val="1A1A1A"/>
          <w:lang w:eastAsia="ja-JP"/>
        </w:rPr>
        <w:t xml:space="preserve">Gould, Jeffrey L., and </w:t>
      </w:r>
      <w:proofErr w:type="spellStart"/>
      <w:r w:rsidRPr="00FB7753">
        <w:rPr>
          <w:rFonts w:ascii="Garamond" w:hAnsi="Garamond"/>
          <w:color w:val="1A1A1A"/>
          <w:lang w:eastAsia="ja-JP"/>
        </w:rPr>
        <w:t>Lauria</w:t>
      </w:r>
      <w:proofErr w:type="spellEnd"/>
      <w:r w:rsidRPr="00FB7753">
        <w:rPr>
          <w:rFonts w:ascii="Garamond" w:hAnsi="Garamond"/>
          <w:color w:val="1A1A1A"/>
          <w:lang w:eastAsia="ja-JP"/>
        </w:rPr>
        <w:t xml:space="preserve">-Santiago, Aldo. 2008. </w:t>
      </w:r>
      <w:r w:rsidRPr="00FB7753">
        <w:rPr>
          <w:rFonts w:ascii="Garamond" w:hAnsi="Garamond"/>
          <w:i/>
          <w:iCs/>
          <w:color w:val="1A1A1A"/>
          <w:lang w:eastAsia="ja-JP"/>
        </w:rPr>
        <w:t>To Rise in Darkness: Revolution, Repression, and Memory in El Salvador, 1920-1932</w:t>
      </w:r>
      <w:r w:rsidRPr="00FB7753">
        <w:rPr>
          <w:rFonts w:ascii="Garamond" w:hAnsi="Garamond"/>
          <w:color w:val="1A1A1A"/>
          <w:lang w:eastAsia="ja-JP"/>
        </w:rPr>
        <w:t>. Durham, NC: Duke University Press.</w:t>
      </w:r>
    </w:p>
    <w:p w14:paraId="0108D3CC" w14:textId="77777777" w:rsidR="003F3E39" w:rsidRPr="00FB7753" w:rsidRDefault="003F3E39" w:rsidP="003F3E39">
      <w:pPr>
        <w:pStyle w:val="EndnoteText"/>
        <w:ind w:left="720" w:hanging="720"/>
        <w:contextualSpacing/>
        <w:rPr>
          <w:rFonts w:ascii="Garamond" w:hAnsi="Garamond"/>
        </w:rPr>
      </w:pPr>
      <w:r w:rsidRPr="00FB7753">
        <w:rPr>
          <w:rFonts w:ascii="Garamond" w:hAnsi="Garamond"/>
        </w:rPr>
        <w:t xml:space="preserve">Grandin, Greg. 2000. </w:t>
      </w:r>
      <w:r w:rsidRPr="00FB7753">
        <w:rPr>
          <w:rFonts w:ascii="Garamond" w:hAnsi="Garamond"/>
          <w:i/>
        </w:rPr>
        <w:t>The Blood of Guatemala: A History of Race and Nation</w:t>
      </w:r>
      <w:r w:rsidRPr="00FB7753">
        <w:rPr>
          <w:rFonts w:ascii="Garamond" w:hAnsi="Garamond"/>
        </w:rPr>
        <w:t xml:space="preserve">. Durham, NC: Duke University Press. </w:t>
      </w:r>
    </w:p>
    <w:p w14:paraId="4AB1DAC0" w14:textId="77777777" w:rsidR="003F3E39" w:rsidRPr="00FB7753" w:rsidRDefault="003F3E39" w:rsidP="003F3E39">
      <w:pPr>
        <w:pStyle w:val="EndnoteText"/>
        <w:ind w:left="720" w:hanging="720"/>
        <w:contextualSpacing/>
        <w:rPr>
          <w:rFonts w:ascii="Garamond" w:hAnsi="Garamond"/>
          <w:color w:val="000000"/>
          <w:lang w:val="es-MX"/>
        </w:rPr>
      </w:pPr>
      <w:r w:rsidRPr="00FB7753">
        <w:rPr>
          <w:rFonts w:ascii="Garamond" w:hAnsi="Garamond"/>
        </w:rPr>
        <w:t>Grandin, Greg. 2005. “</w:t>
      </w:r>
      <w:r w:rsidRPr="00FB7753">
        <w:rPr>
          <w:rFonts w:ascii="Garamond" w:hAnsi="Garamond"/>
          <w:color w:val="000000"/>
        </w:rPr>
        <w:t xml:space="preserve">The instruction of great catastrophe: Truth commissions, national history, and state formation in Argentina, Chile, and Guatemala.” </w:t>
      </w:r>
      <w:r w:rsidRPr="00FB7753">
        <w:rPr>
          <w:rFonts w:ascii="Garamond" w:hAnsi="Garamond"/>
          <w:i/>
          <w:color w:val="000000"/>
          <w:lang w:val="es-MX"/>
        </w:rPr>
        <w:t xml:space="preserve">The American Historical Review </w:t>
      </w:r>
      <w:r w:rsidRPr="00FB7753">
        <w:rPr>
          <w:rFonts w:ascii="Garamond" w:hAnsi="Garamond"/>
          <w:color w:val="000000"/>
          <w:lang w:val="es-MX"/>
        </w:rPr>
        <w:t>110 (1): 46-67.</w:t>
      </w:r>
    </w:p>
    <w:p w14:paraId="2421E6F2" w14:textId="77777777" w:rsidR="003F3E39" w:rsidRPr="00FB7753" w:rsidRDefault="003F3E39" w:rsidP="003F3E39">
      <w:pPr>
        <w:pStyle w:val="Footer"/>
        <w:tabs>
          <w:tab w:val="clear" w:pos="4680"/>
          <w:tab w:val="clear" w:pos="9360"/>
        </w:tabs>
        <w:ind w:left="720" w:hanging="720"/>
        <w:contextualSpacing/>
        <w:rPr>
          <w:rFonts w:ascii="Garamond" w:hAnsi="Garamond"/>
          <w:noProof/>
          <w:lang w:val="es-MX"/>
        </w:rPr>
      </w:pPr>
      <w:r w:rsidRPr="00FB7753">
        <w:rPr>
          <w:rFonts w:ascii="Garamond" w:hAnsi="Garamond"/>
          <w:noProof/>
          <w:lang w:val="es-MX"/>
        </w:rPr>
        <w:t xml:space="preserve">Gregorio López Bernal, Carlos. 2011. “El Salvador, 1811-2011: Los avatares de la nación y los nacionalismos.” In </w:t>
      </w:r>
      <w:r w:rsidRPr="00FB7753">
        <w:rPr>
          <w:rFonts w:ascii="Garamond" w:hAnsi="Garamond"/>
          <w:i/>
          <w:noProof/>
          <w:lang w:val="es-MX"/>
        </w:rPr>
        <w:t>Historia Mínima: 1811-2011</w:t>
      </w:r>
      <w:r w:rsidRPr="00FB7753">
        <w:rPr>
          <w:rFonts w:ascii="Garamond" w:hAnsi="Garamond"/>
          <w:noProof/>
          <w:lang w:val="es-MX"/>
        </w:rPr>
        <w:t>, edited by Erick Rivera Orellana and Secretaría de Cultura de la Presidencia de la República El Salvador, 135-145. San Salvador: Secretaria de Cultura de la Presidencia.</w:t>
      </w:r>
    </w:p>
    <w:p w14:paraId="43A5A622" w14:textId="77777777" w:rsidR="003F3E39" w:rsidRPr="00FB7753" w:rsidRDefault="003F3E39" w:rsidP="003F3E39">
      <w:pPr>
        <w:ind w:left="720" w:hanging="720"/>
        <w:contextualSpacing/>
        <w:rPr>
          <w:rFonts w:ascii="Garamond" w:hAnsi="Garamond"/>
        </w:rPr>
      </w:pPr>
      <w:r w:rsidRPr="00FB7753">
        <w:rPr>
          <w:rFonts w:ascii="Garamond" w:hAnsi="Garamond"/>
          <w:lang w:val="es-MX"/>
        </w:rPr>
        <w:t xml:space="preserve">Hale, Charles. </w:t>
      </w:r>
      <w:r w:rsidRPr="00FB7753">
        <w:rPr>
          <w:rFonts w:ascii="Garamond" w:hAnsi="Garamond"/>
        </w:rPr>
        <w:t xml:space="preserve">R. 2002. “Does multiculturalism menace? Governance, cultural rights and the politics of identity in Guatemala.” </w:t>
      </w:r>
      <w:r w:rsidRPr="00FB7753">
        <w:rPr>
          <w:rFonts w:ascii="Garamond" w:hAnsi="Garamond"/>
          <w:i/>
          <w:noProof/>
        </w:rPr>
        <w:t xml:space="preserve">Journal of Latin American Studies </w:t>
      </w:r>
      <w:r w:rsidRPr="00FB7753">
        <w:rPr>
          <w:rFonts w:ascii="Garamond" w:hAnsi="Garamond"/>
          <w:noProof/>
        </w:rPr>
        <w:t>34 (3): 485-524.</w:t>
      </w:r>
    </w:p>
    <w:p w14:paraId="44E3467C" w14:textId="77777777" w:rsidR="003F3E39" w:rsidRPr="00FB7753" w:rsidRDefault="003F3E39" w:rsidP="003F3E39">
      <w:pPr>
        <w:pStyle w:val="EndnoteText"/>
        <w:ind w:left="720" w:hanging="720"/>
        <w:contextualSpacing/>
        <w:rPr>
          <w:rFonts w:ascii="Garamond" w:hAnsi="Garamond"/>
        </w:rPr>
      </w:pPr>
      <w:proofErr w:type="spellStart"/>
      <w:r w:rsidRPr="00FB7753">
        <w:rPr>
          <w:rFonts w:ascii="Garamond" w:hAnsi="Garamond"/>
        </w:rPr>
        <w:t>Henríquez</w:t>
      </w:r>
      <w:proofErr w:type="spellEnd"/>
      <w:r w:rsidRPr="00FB7753">
        <w:rPr>
          <w:rFonts w:ascii="Garamond" w:hAnsi="Garamond"/>
        </w:rPr>
        <w:t xml:space="preserve"> Consalvi, Carlos “Santiago.” 2011. </w:t>
      </w:r>
      <w:r w:rsidRPr="00FB7753">
        <w:rPr>
          <w:rFonts w:ascii="Garamond" w:hAnsi="Garamond"/>
          <w:i/>
          <w:iCs/>
        </w:rPr>
        <w:t>Broadcasting the Civil War in El Salvador: A Memoir of Guerrilla Radio</w:t>
      </w:r>
      <w:r w:rsidRPr="00FB7753">
        <w:rPr>
          <w:rFonts w:ascii="Garamond" w:hAnsi="Garamond"/>
        </w:rPr>
        <w:t>. Translated by Charles Leo Nagle V with A. L. Bill Prince. Austin: University of Texas Press.</w:t>
      </w:r>
    </w:p>
    <w:p w14:paraId="5E13DE9C" w14:textId="77777777" w:rsidR="003F3E39" w:rsidRPr="00FB7753" w:rsidRDefault="003F3E39" w:rsidP="003F3E39">
      <w:pPr>
        <w:pStyle w:val="EndnoteText"/>
        <w:ind w:left="720" w:hanging="720"/>
        <w:contextualSpacing/>
        <w:rPr>
          <w:rFonts w:ascii="Garamond" w:hAnsi="Garamond"/>
        </w:rPr>
      </w:pPr>
      <w:r w:rsidRPr="00FB7753">
        <w:rPr>
          <w:rFonts w:ascii="Garamond" w:hAnsi="Garamond"/>
        </w:rPr>
        <w:t xml:space="preserve">Isaacs, Anita. 2010. “Guatemala on the brink.” </w:t>
      </w:r>
      <w:r w:rsidRPr="00FB7753">
        <w:rPr>
          <w:rFonts w:ascii="Garamond" w:hAnsi="Garamond"/>
          <w:i/>
        </w:rPr>
        <w:t xml:space="preserve">Journal of Democracy </w:t>
      </w:r>
      <w:r w:rsidRPr="00FB7753">
        <w:rPr>
          <w:rFonts w:ascii="Garamond" w:hAnsi="Garamond"/>
        </w:rPr>
        <w:t xml:space="preserve">21 (2): 108-122. </w:t>
      </w:r>
    </w:p>
    <w:p w14:paraId="3B4FDF2A" w14:textId="77777777" w:rsidR="003F3E39" w:rsidRPr="00FB7753" w:rsidRDefault="003F3E39" w:rsidP="003F3E39">
      <w:pPr>
        <w:ind w:left="720" w:hanging="720"/>
        <w:contextualSpacing/>
        <w:rPr>
          <w:rFonts w:ascii="Garamond" w:hAnsi="Garamond"/>
        </w:rPr>
      </w:pPr>
      <w:proofErr w:type="spellStart"/>
      <w:r w:rsidRPr="00FB7753">
        <w:rPr>
          <w:rFonts w:ascii="Garamond" w:hAnsi="Garamond"/>
        </w:rPr>
        <w:lastRenderedPageBreak/>
        <w:t>Jelin</w:t>
      </w:r>
      <w:proofErr w:type="spellEnd"/>
      <w:r w:rsidRPr="00FB7753">
        <w:rPr>
          <w:rFonts w:ascii="Garamond" w:hAnsi="Garamond"/>
        </w:rPr>
        <w:t xml:space="preserve">, Elizabeth. 2003. </w:t>
      </w:r>
      <w:r w:rsidRPr="00FB7753">
        <w:rPr>
          <w:rFonts w:ascii="Garamond" w:hAnsi="Garamond"/>
          <w:i/>
        </w:rPr>
        <w:t>State Repression and the Labors of Memory</w:t>
      </w:r>
      <w:r w:rsidRPr="00FB7753">
        <w:rPr>
          <w:rFonts w:ascii="Garamond" w:hAnsi="Garamond"/>
        </w:rPr>
        <w:t>. Minneapolis: University of Minnesota Press.</w:t>
      </w:r>
    </w:p>
    <w:p w14:paraId="02311598" w14:textId="77777777" w:rsidR="003F3E39" w:rsidRPr="00FB7753" w:rsidRDefault="003F3E39" w:rsidP="003F3E39">
      <w:pPr>
        <w:ind w:left="720" w:hanging="720"/>
        <w:contextualSpacing/>
        <w:rPr>
          <w:rFonts w:ascii="Garamond" w:hAnsi="Garamond"/>
          <w:noProof/>
        </w:rPr>
      </w:pPr>
      <w:r w:rsidRPr="00FB7753">
        <w:rPr>
          <w:rFonts w:ascii="Garamond" w:hAnsi="Garamond"/>
          <w:noProof/>
        </w:rPr>
        <w:t xml:space="preserve">Levenson, D. T. 2013. </w:t>
      </w:r>
      <w:r w:rsidRPr="00FB7753">
        <w:rPr>
          <w:rFonts w:ascii="Garamond" w:hAnsi="Garamond"/>
          <w:i/>
          <w:noProof/>
        </w:rPr>
        <w:t>Adiós Niño: The Gangs of Guatemala City and the Politics of Death</w:t>
      </w:r>
      <w:r w:rsidRPr="00FB7753">
        <w:rPr>
          <w:rFonts w:ascii="Garamond" w:hAnsi="Garamond"/>
          <w:noProof/>
        </w:rPr>
        <w:t>. Durham, NC: Duke University Press.</w:t>
      </w:r>
    </w:p>
    <w:p w14:paraId="301618B3" w14:textId="77777777" w:rsidR="003F3E39" w:rsidRPr="00FB7753" w:rsidRDefault="003F3E39" w:rsidP="003F3E39">
      <w:pPr>
        <w:ind w:left="720" w:hanging="720"/>
        <w:contextualSpacing/>
        <w:rPr>
          <w:rFonts w:ascii="Garamond" w:hAnsi="Garamond"/>
        </w:rPr>
      </w:pPr>
      <w:r w:rsidRPr="00FB7753">
        <w:rPr>
          <w:rFonts w:ascii="Garamond" w:hAnsi="Garamond"/>
        </w:rPr>
        <w:t xml:space="preserve">Levinson, B.A.U. 2011. “Toward an anthropology of (democratic) citizenship education.” In </w:t>
      </w:r>
      <w:r w:rsidRPr="00FB7753">
        <w:rPr>
          <w:rFonts w:ascii="Garamond" w:hAnsi="Garamond"/>
          <w:i/>
        </w:rPr>
        <w:t>A Companion to the Anthropology of Education</w:t>
      </w:r>
      <w:r w:rsidRPr="00FB7753">
        <w:rPr>
          <w:rFonts w:ascii="Garamond" w:hAnsi="Garamond"/>
        </w:rPr>
        <w:t>, edited by Bradley A.U. Levinson &amp; Mica. Pollock, 279-298. Malden, MA: Wiley-Blackwell.</w:t>
      </w:r>
    </w:p>
    <w:p w14:paraId="5ABE5283" w14:textId="77777777" w:rsidR="003F3E39" w:rsidRPr="00FB7753" w:rsidRDefault="003F3E39" w:rsidP="003F3E39">
      <w:pPr>
        <w:ind w:left="720" w:hanging="720"/>
        <w:contextualSpacing/>
        <w:rPr>
          <w:rFonts w:ascii="Garamond" w:hAnsi="Garamond"/>
          <w:color w:val="000000"/>
        </w:rPr>
      </w:pPr>
      <w:r w:rsidRPr="00FB7753">
        <w:rPr>
          <w:rFonts w:ascii="Garamond" w:hAnsi="Garamond"/>
          <w:color w:val="000000"/>
        </w:rPr>
        <w:t xml:space="preserve">Levinson, </w:t>
      </w:r>
      <w:proofErr w:type="spellStart"/>
      <w:r w:rsidRPr="00FB7753">
        <w:rPr>
          <w:rFonts w:ascii="Garamond" w:hAnsi="Garamond"/>
          <w:color w:val="000000"/>
        </w:rPr>
        <w:t>Meira</w:t>
      </w:r>
      <w:proofErr w:type="spellEnd"/>
      <w:r w:rsidRPr="00FB7753">
        <w:rPr>
          <w:rFonts w:ascii="Garamond" w:hAnsi="Garamond"/>
          <w:color w:val="000000"/>
        </w:rPr>
        <w:t xml:space="preserve">. 2012. </w:t>
      </w:r>
      <w:r w:rsidRPr="00FB7753">
        <w:rPr>
          <w:rFonts w:ascii="Garamond" w:hAnsi="Garamond"/>
          <w:i/>
          <w:color w:val="000000"/>
        </w:rPr>
        <w:t>No Citizen Left Behind</w:t>
      </w:r>
      <w:r w:rsidRPr="00FB7753">
        <w:rPr>
          <w:rFonts w:ascii="Garamond" w:hAnsi="Garamond"/>
          <w:color w:val="000000"/>
        </w:rPr>
        <w:t>. Cambridge, MA: Harvard University Press.</w:t>
      </w:r>
    </w:p>
    <w:p w14:paraId="52704102"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Lindo-Fuentes, Héctor, and Erik Kristofer Ching. 2012. </w:t>
      </w:r>
      <w:r w:rsidRPr="00FB7753">
        <w:rPr>
          <w:rFonts w:ascii="Garamond" w:hAnsi="Garamond"/>
          <w:i/>
          <w:noProof/>
        </w:rPr>
        <w:t>Modernizing Minds in El Salvador: Education Reform and the Cold War, 1960-1980</w:t>
      </w:r>
      <w:r w:rsidRPr="00FB7753">
        <w:rPr>
          <w:rFonts w:ascii="Garamond" w:hAnsi="Garamond"/>
          <w:noProof/>
        </w:rPr>
        <w:t>. Albuquerque: University of New Mexico Press.</w:t>
      </w:r>
    </w:p>
    <w:p w14:paraId="377AC644"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Lindo-Fuentes, Héctor, Erik Kristofer Ching, and Rafael Lara Martínez. 2007. </w:t>
      </w:r>
      <w:r w:rsidRPr="00FB7753">
        <w:rPr>
          <w:rFonts w:ascii="Garamond" w:hAnsi="Garamond"/>
          <w:i/>
          <w:noProof/>
        </w:rPr>
        <w:t>Remembering a Massacre in El Salvador: The Insurrection of 1932, Roque Dalton, and the Politics of Historical Memory</w:t>
      </w:r>
      <w:r w:rsidRPr="00FB7753">
        <w:rPr>
          <w:rFonts w:ascii="Garamond" w:hAnsi="Garamond"/>
          <w:noProof/>
        </w:rPr>
        <w:t>. Albuquerque: University of New Mexico Press.</w:t>
      </w:r>
    </w:p>
    <w:p w14:paraId="7C14DEB0" w14:textId="77777777" w:rsidR="003F3E39" w:rsidRPr="00FB7753" w:rsidRDefault="003F3E39" w:rsidP="003F3E39">
      <w:pPr>
        <w:ind w:left="720" w:hanging="720"/>
        <w:contextualSpacing/>
        <w:rPr>
          <w:rFonts w:ascii="Garamond" w:hAnsi="Garamond"/>
          <w:color w:val="262626"/>
          <w:lang w:eastAsia="ja-JP"/>
        </w:rPr>
      </w:pPr>
      <w:r w:rsidRPr="00FB7753">
        <w:rPr>
          <w:rFonts w:ascii="Garamond" w:hAnsi="Garamond"/>
          <w:color w:val="262626"/>
          <w:lang w:eastAsia="ja-JP"/>
        </w:rPr>
        <w:t xml:space="preserve">López, Luis Enrique. 2014. “Indigenous Bilingual Education in Latin America: Widening Gaps between Policy and Practice.” In </w:t>
      </w:r>
      <w:proofErr w:type="gramStart"/>
      <w:r w:rsidRPr="00FB7753">
        <w:rPr>
          <w:rFonts w:ascii="Garamond" w:hAnsi="Garamond"/>
          <w:i/>
          <w:color w:val="262626"/>
          <w:lang w:eastAsia="ja-JP"/>
        </w:rPr>
        <w:t>The</w:t>
      </w:r>
      <w:proofErr w:type="gramEnd"/>
      <w:r w:rsidRPr="00FB7753">
        <w:rPr>
          <w:rFonts w:ascii="Garamond" w:hAnsi="Garamond"/>
          <w:i/>
          <w:color w:val="262626"/>
          <w:lang w:eastAsia="ja-JP"/>
        </w:rPr>
        <w:t xml:space="preserve"> Education of Indigenous Citizens in Latin America</w:t>
      </w:r>
      <w:r w:rsidRPr="00FB7753">
        <w:rPr>
          <w:rFonts w:ascii="Garamond" w:hAnsi="Garamond"/>
          <w:color w:val="262626"/>
          <w:lang w:eastAsia="ja-JP"/>
        </w:rPr>
        <w:t>, edited by Regina Cortina, 19-49. Bristol, UK: Multilingual Matters.</w:t>
      </w:r>
    </w:p>
    <w:p w14:paraId="47B00AC9" w14:textId="77777777" w:rsidR="003F3E39" w:rsidRPr="00FB7753" w:rsidRDefault="003F3E39" w:rsidP="003F3E39">
      <w:pPr>
        <w:ind w:left="720" w:hanging="720"/>
        <w:contextualSpacing/>
        <w:rPr>
          <w:rFonts w:ascii="Garamond" w:hAnsi="Garamond"/>
          <w:color w:val="262626"/>
          <w:lang w:eastAsia="ja-JP"/>
        </w:rPr>
      </w:pPr>
      <w:r w:rsidRPr="00FB7753">
        <w:rPr>
          <w:rFonts w:ascii="Garamond" w:hAnsi="Garamond"/>
          <w:color w:val="262626"/>
          <w:lang w:eastAsia="ja-JP"/>
        </w:rPr>
        <w:t xml:space="preserve">Lovell, W. George, and Christopher H. Lutz. 1996. “‘A Dark Obverse’: Maya Survival in Guatemala: 1520-1994.” </w:t>
      </w:r>
      <w:r w:rsidRPr="00FB7753">
        <w:rPr>
          <w:rFonts w:ascii="Garamond" w:hAnsi="Garamond"/>
          <w:i/>
          <w:color w:val="262626"/>
          <w:lang w:eastAsia="ja-JP"/>
        </w:rPr>
        <w:t>Geographical Review</w:t>
      </w:r>
      <w:r w:rsidRPr="00FB7753">
        <w:rPr>
          <w:rFonts w:ascii="Garamond" w:hAnsi="Garamond"/>
          <w:color w:val="262626"/>
          <w:lang w:eastAsia="ja-JP"/>
        </w:rPr>
        <w:t>, 86 (3): 398-407.</w:t>
      </w:r>
    </w:p>
    <w:p w14:paraId="479A9CCE" w14:textId="77777777" w:rsidR="003F3E39" w:rsidRPr="00FB7753" w:rsidRDefault="003F3E39" w:rsidP="003F3E39">
      <w:pPr>
        <w:ind w:left="720" w:hanging="720"/>
        <w:contextualSpacing/>
        <w:rPr>
          <w:rFonts w:ascii="Garamond" w:hAnsi="Garamond"/>
          <w:color w:val="262626"/>
          <w:lang w:eastAsia="ja-JP"/>
        </w:rPr>
      </w:pPr>
      <w:r w:rsidRPr="00FB7753">
        <w:rPr>
          <w:rFonts w:ascii="Garamond" w:hAnsi="Garamond"/>
          <w:color w:val="262626"/>
          <w:lang w:eastAsia="ja-JP"/>
        </w:rPr>
        <w:t xml:space="preserve">Mahoney, James. 2000. “Path Dependence in Historical Sociology.” </w:t>
      </w:r>
      <w:r w:rsidRPr="00FB7753">
        <w:rPr>
          <w:rFonts w:ascii="Garamond" w:hAnsi="Garamond"/>
          <w:i/>
          <w:iCs/>
          <w:color w:val="262626"/>
          <w:lang w:eastAsia="ja-JP"/>
        </w:rPr>
        <w:t xml:space="preserve">Theory and Society 29 </w:t>
      </w:r>
      <w:r w:rsidRPr="00FB7753">
        <w:rPr>
          <w:rFonts w:ascii="Garamond" w:hAnsi="Garamond"/>
          <w:color w:val="262626"/>
          <w:lang w:eastAsia="ja-JP"/>
        </w:rPr>
        <w:t>(4): 507-548.</w:t>
      </w:r>
    </w:p>
    <w:p w14:paraId="117E783C" w14:textId="77777777" w:rsidR="003F3E39" w:rsidRPr="00FB7753" w:rsidRDefault="003F3E39" w:rsidP="003F3E39">
      <w:pPr>
        <w:ind w:left="720" w:hanging="720"/>
        <w:contextualSpacing/>
        <w:rPr>
          <w:rFonts w:ascii="Garamond" w:hAnsi="Garamond"/>
          <w:color w:val="262626"/>
          <w:lang w:eastAsia="ja-JP"/>
        </w:rPr>
      </w:pPr>
      <w:r w:rsidRPr="00FB7753">
        <w:rPr>
          <w:rFonts w:ascii="Garamond" w:hAnsi="Garamond"/>
          <w:color w:val="262626"/>
          <w:lang w:eastAsia="ja-JP"/>
        </w:rPr>
        <w:t>Marques, José, and Ian Bannon. 2003. “Central America: Education reform in a post-conflict setting, opportunities and challenges.” CPR Working Paper No. 4.</w:t>
      </w:r>
    </w:p>
    <w:p w14:paraId="3BD750C4" w14:textId="77777777" w:rsidR="003F3E39" w:rsidRPr="00FB7753" w:rsidRDefault="003F3E39" w:rsidP="003F3E39">
      <w:pPr>
        <w:ind w:left="720" w:hanging="720"/>
        <w:contextualSpacing/>
        <w:rPr>
          <w:rFonts w:ascii="Garamond" w:hAnsi="Garamond"/>
          <w:noProof/>
        </w:rPr>
      </w:pPr>
      <w:r w:rsidRPr="00FB7753">
        <w:rPr>
          <w:rFonts w:ascii="Garamond" w:hAnsi="Garamond"/>
          <w:noProof/>
        </w:rPr>
        <w:t xml:space="preserve">Maxwell, J. M. 2009. “Bilingual bicultural education: Best intentions across a cultural divide.” In </w:t>
      </w:r>
      <w:r w:rsidRPr="00FB7753">
        <w:rPr>
          <w:rFonts w:ascii="Garamond" w:hAnsi="Garamond"/>
          <w:i/>
          <w:noProof/>
        </w:rPr>
        <w:t xml:space="preserve">Mayas in postwar Guatemala: Harvest of violence revisited, </w:t>
      </w:r>
      <w:r w:rsidRPr="00FB7753">
        <w:rPr>
          <w:rFonts w:ascii="Garamond" w:hAnsi="Garamond"/>
          <w:noProof/>
        </w:rPr>
        <w:t>edited by W. E. Little and T. J. Smith, 84-95. Tuscaloosa: The University of Alabama Press.</w:t>
      </w:r>
    </w:p>
    <w:p w14:paraId="4E42472B" w14:textId="77777777" w:rsidR="003F3E39" w:rsidRPr="00FB7753" w:rsidRDefault="003F3E39" w:rsidP="003F3E39">
      <w:pPr>
        <w:ind w:left="720" w:hanging="720"/>
        <w:contextualSpacing/>
        <w:rPr>
          <w:rFonts w:ascii="Garamond" w:hAnsi="Garamond"/>
          <w:noProof/>
        </w:rPr>
      </w:pPr>
      <w:r w:rsidRPr="00FB7753">
        <w:rPr>
          <w:rFonts w:ascii="Garamond" w:hAnsi="Garamond"/>
          <w:noProof/>
        </w:rPr>
        <w:t xml:space="preserve">McAllister, C., and D. M. Nelson. 2013. “Aftermath: Harvests of violence and histories of the future.” In </w:t>
      </w:r>
      <w:r w:rsidRPr="00FB7753">
        <w:rPr>
          <w:rFonts w:ascii="Garamond" w:hAnsi="Garamond"/>
          <w:i/>
          <w:noProof/>
        </w:rPr>
        <w:t>War by other means: Aftermath in post-genocide Guatemala</w:t>
      </w:r>
      <w:r w:rsidRPr="00FB7753">
        <w:rPr>
          <w:rFonts w:ascii="Garamond" w:hAnsi="Garamond"/>
          <w:noProof/>
        </w:rPr>
        <w:t>, edited by C. McAllister and D. M. Nelson. 1-48. Durham, NC: Duke University Press.</w:t>
      </w:r>
    </w:p>
    <w:p w14:paraId="5FB11FE6" w14:textId="77777777" w:rsidR="003F3E39" w:rsidRPr="00FB7753" w:rsidRDefault="003F3E39" w:rsidP="003F3E39">
      <w:pPr>
        <w:ind w:left="720" w:hanging="720"/>
        <w:contextualSpacing/>
        <w:rPr>
          <w:rFonts w:ascii="Garamond" w:hAnsi="Garamond"/>
          <w:noProof/>
        </w:rPr>
      </w:pPr>
      <w:proofErr w:type="spellStart"/>
      <w:r w:rsidRPr="00FB7753">
        <w:rPr>
          <w:rFonts w:ascii="Garamond" w:hAnsi="Garamond"/>
          <w:color w:val="1A1A1A"/>
          <w:lang w:eastAsia="ja-JP"/>
        </w:rPr>
        <w:t>Menchú</w:t>
      </w:r>
      <w:proofErr w:type="spellEnd"/>
      <w:r w:rsidRPr="00FB7753">
        <w:rPr>
          <w:rFonts w:ascii="Garamond" w:hAnsi="Garamond"/>
          <w:color w:val="1A1A1A"/>
          <w:lang w:eastAsia="ja-JP"/>
        </w:rPr>
        <w:t xml:space="preserve">, </w:t>
      </w:r>
      <w:proofErr w:type="spellStart"/>
      <w:r w:rsidRPr="00FB7753">
        <w:rPr>
          <w:rFonts w:ascii="Garamond" w:hAnsi="Garamond"/>
          <w:color w:val="1A1A1A"/>
          <w:lang w:eastAsia="ja-JP"/>
        </w:rPr>
        <w:t>Rigoberta</w:t>
      </w:r>
      <w:proofErr w:type="spellEnd"/>
      <w:r w:rsidRPr="00FB7753">
        <w:rPr>
          <w:rFonts w:ascii="Garamond" w:hAnsi="Garamond"/>
          <w:color w:val="1A1A1A"/>
          <w:lang w:eastAsia="ja-JP"/>
        </w:rPr>
        <w:t xml:space="preserve"> and Elisabeth Burgos-</w:t>
      </w:r>
      <w:proofErr w:type="spellStart"/>
      <w:r w:rsidRPr="00FB7753">
        <w:rPr>
          <w:rFonts w:ascii="Garamond" w:hAnsi="Garamond"/>
          <w:color w:val="1A1A1A"/>
          <w:lang w:eastAsia="ja-JP"/>
        </w:rPr>
        <w:t>Debray</w:t>
      </w:r>
      <w:proofErr w:type="spellEnd"/>
      <w:r w:rsidRPr="00FB7753">
        <w:rPr>
          <w:rFonts w:ascii="Garamond" w:hAnsi="Garamond"/>
          <w:color w:val="1A1A1A"/>
          <w:lang w:eastAsia="ja-JP"/>
        </w:rPr>
        <w:t xml:space="preserve">, ed. 1984. </w:t>
      </w:r>
      <w:r w:rsidRPr="00FB7753">
        <w:rPr>
          <w:rFonts w:ascii="Garamond" w:hAnsi="Garamond"/>
          <w:i/>
          <w:iCs/>
          <w:color w:val="1A1A1A"/>
          <w:lang w:eastAsia="ja-JP"/>
        </w:rPr>
        <w:t xml:space="preserve">I, </w:t>
      </w:r>
      <w:proofErr w:type="spellStart"/>
      <w:r w:rsidRPr="00FB7753">
        <w:rPr>
          <w:rFonts w:ascii="Garamond" w:hAnsi="Garamond"/>
          <w:i/>
          <w:iCs/>
          <w:color w:val="1A1A1A"/>
          <w:lang w:eastAsia="ja-JP"/>
        </w:rPr>
        <w:t>Rigoberta</w:t>
      </w:r>
      <w:proofErr w:type="spellEnd"/>
      <w:r w:rsidRPr="00FB7753">
        <w:rPr>
          <w:rFonts w:ascii="Garamond" w:hAnsi="Garamond"/>
          <w:i/>
          <w:iCs/>
          <w:color w:val="1A1A1A"/>
          <w:lang w:eastAsia="ja-JP"/>
        </w:rPr>
        <w:t xml:space="preserve"> </w:t>
      </w:r>
      <w:proofErr w:type="spellStart"/>
      <w:r w:rsidRPr="00FB7753">
        <w:rPr>
          <w:rFonts w:ascii="Garamond" w:hAnsi="Garamond"/>
          <w:i/>
          <w:iCs/>
          <w:color w:val="1A1A1A"/>
          <w:lang w:eastAsia="ja-JP"/>
        </w:rPr>
        <w:t>Menchú</w:t>
      </w:r>
      <w:proofErr w:type="spellEnd"/>
      <w:r w:rsidRPr="00FB7753">
        <w:rPr>
          <w:rFonts w:ascii="Garamond" w:hAnsi="Garamond"/>
          <w:i/>
          <w:iCs/>
          <w:color w:val="1A1A1A"/>
          <w:lang w:eastAsia="ja-JP"/>
        </w:rPr>
        <w:t xml:space="preserve">: An Indian </w:t>
      </w:r>
      <w:r w:rsidRPr="00FB7753">
        <w:rPr>
          <w:rFonts w:ascii="Garamond" w:hAnsi="Garamond"/>
          <w:i/>
          <w:iCs/>
          <w:color w:val="1A1A1A"/>
          <w:lang w:eastAsia="ja-JP"/>
        </w:rPr>
        <w:tab/>
        <w:t>Woman in Guatemala</w:t>
      </w:r>
      <w:r w:rsidRPr="00FB7753">
        <w:rPr>
          <w:rFonts w:ascii="Garamond" w:hAnsi="Garamond"/>
          <w:color w:val="1A1A1A"/>
          <w:lang w:eastAsia="ja-JP"/>
        </w:rPr>
        <w:t>. London: Verso.</w:t>
      </w:r>
    </w:p>
    <w:p w14:paraId="2921AE3F"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Ministry of Education of El Salvador. 2009. </w:t>
      </w:r>
      <w:r w:rsidRPr="00FB7753">
        <w:rPr>
          <w:rFonts w:ascii="Garamond" w:hAnsi="Garamond"/>
          <w:i/>
          <w:noProof/>
        </w:rPr>
        <w:t>Historia 2: El Salvador</w:t>
      </w:r>
      <w:r w:rsidRPr="00FB7753">
        <w:rPr>
          <w:rFonts w:ascii="Garamond" w:hAnsi="Garamond"/>
          <w:noProof/>
        </w:rPr>
        <w:t>. San Salvador: Ministry of Education of El Salvador.</w:t>
      </w:r>
    </w:p>
    <w:p w14:paraId="0C266BC0"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Moodie, Ellen. 2009. “Seventeen Years, Seventeen Murders: Biospectacularity and the Production of Post–Cold War Knowledge in El Salvador.” </w:t>
      </w:r>
      <w:r w:rsidRPr="00FB7753">
        <w:rPr>
          <w:rFonts w:ascii="Garamond" w:hAnsi="Garamond"/>
          <w:i/>
          <w:noProof/>
        </w:rPr>
        <w:t>Social Text</w:t>
      </w:r>
      <w:r w:rsidRPr="00FB7753">
        <w:rPr>
          <w:rFonts w:ascii="Garamond" w:hAnsi="Garamond"/>
          <w:noProof/>
        </w:rPr>
        <w:t xml:space="preserve"> 27 (2): 77-103.</w:t>
      </w:r>
    </w:p>
    <w:p w14:paraId="39005574"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Moodie, Ellen. 2010. </w:t>
      </w:r>
      <w:r w:rsidRPr="00FB7753">
        <w:rPr>
          <w:rFonts w:ascii="Garamond" w:hAnsi="Garamond"/>
          <w:i/>
          <w:iCs/>
          <w:noProof/>
        </w:rPr>
        <w:t>El Salvador in the Aftermath of Peace: Crime, Uncertainty, and the Transition to Democracy</w:t>
      </w:r>
      <w:r w:rsidRPr="00FB7753">
        <w:rPr>
          <w:rFonts w:ascii="Garamond" w:hAnsi="Garamond"/>
          <w:noProof/>
        </w:rPr>
        <w:t>. Philadelphia: University of Pennsylvania Press.</w:t>
      </w:r>
    </w:p>
    <w:p w14:paraId="5CDB1F87" w14:textId="77777777" w:rsidR="003F3E39" w:rsidRPr="00FB7753" w:rsidRDefault="003F3E39" w:rsidP="003F3E39">
      <w:pPr>
        <w:ind w:left="720" w:hanging="720"/>
        <w:contextualSpacing/>
        <w:rPr>
          <w:rFonts w:ascii="Garamond" w:hAnsi="Garamond"/>
          <w:lang w:val="es-ES"/>
        </w:rPr>
      </w:pPr>
      <w:r w:rsidRPr="00FB7753">
        <w:rPr>
          <w:rFonts w:ascii="Garamond" w:hAnsi="Garamond"/>
        </w:rPr>
        <w:t xml:space="preserve">Museo </w:t>
      </w:r>
      <w:proofErr w:type="spellStart"/>
      <w:r w:rsidRPr="00FB7753">
        <w:rPr>
          <w:rFonts w:ascii="Garamond" w:hAnsi="Garamond"/>
        </w:rPr>
        <w:t>Comunitario</w:t>
      </w:r>
      <w:proofErr w:type="spellEnd"/>
      <w:r w:rsidRPr="00FB7753">
        <w:rPr>
          <w:rFonts w:ascii="Garamond" w:hAnsi="Garamond"/>
        </w:rPr>
        <w:t xml:space="preserve"> </w:t>
      </w:r>
      <w:proofErr w:type="spellStart"/>
      <w:r w:rsidRPr="00FB7753">
        <w:rPr>
          <w:rFonts w:ascii="Garamond" w:hAnsi="Garamond"/>
        </w:rPr>
        <w:t>Rabinal</w:t>
      </w:r>
      <w:proofErr w:type="spellEnd"/>
      <w:r w:rsidRPr="00FB7753">
        <w:rPr>
          <w:rFonts w:ascii="Garamond" w:hAnsi="Garamond"/>
        </w:rPr>
        <w:t xml:space="preserve"> Achi. 2003. </w:t>
      </w:r>
      <w:proofErr w:type="spellStart"/>
      <w:r w:rsidRPr="00FB7753">
        <w:rPr>
          <w:rFonts w:ascii="Garamond" w:hAnsi="Garamond"/>
          <w:i/>
        </w:rPr>
        <w:t>Oj</w:t>
      </w:r>
      <w:proofErr w:type="spellEnd"/>
      <w:r w:rsidRPr="00FB7753">
        <w:rPr>
          <w:rFonts w:ascii="Garamond" w:hAnsi="Garamond"/>
          <w:i/>
        </w:rPr>
        <w:t xml:space="preserve"> </w:t>
      </w:r>
      <w:proofErr w:type="spellStart"/>
      <w:r w:rsidRPr="00FB7753">
        <w:rPr>
          <w:rFonts w:ascii="Garamond" w:hAnsi="Garamond"/>
          <w:i/>
        </w:rPr>
        <w:t>K’aslik</w:t>
      </w:r>
      <w:proofErr w:type="spellEnd"/>
      <w:r w:rsidRPr="00FB7753">
        <w:rPr>
          <w:rFonts w:ascii="Garamond" w:hAnsi="Garamond"/>
          <w:i/>
        </w:rPr>
        <w:t xml:space="preserve">: Estamos </w:t>
      </w:r>
      <w:proofErr w:type="spellStart"/>
      <w:r w:rsidRPr="00FB7753">
        <w:rPr>
          <w:rFonts w:ascii="Garamond" w:hAnsi="Garamond"/>
          <w:i/>
        </w:rPr>
        <w:t>vivos</w:t>
      </w:r>
      <w:proofErr w:type="spellEnd"/>
      <w:r w:rsidRPr="00FB7753">
        <w:rPr>
          <w:rFonts w:ascii="Garamond" w:hAnsi="Garamond"/>
          <w:i/>
        </w:rPr>
        <w:t xml:space="preserve">. </w:t>
      </w:r>
      <w:r w:rsidRPr="00FB7753">
        <w:rPr>
          <w:rFonts w:ascii="Garamond" w:hAnsi="Garamond"/>
          <w:i/>
          <w:lang w:val="es-ES"/>
        </w:rPr>
        <w:t xml:space="preserve">Recuperación de la memoria histórica de Rabinal (1944-1996). </w:t>
      </w:r>
      <w:r w:rsidRPr="00FB7753">
        <w:rPr>
          <w:rFonts w:ascii="Garamond" w:hAnsi="Garamond"/>
          <w:lang w:val="es-ES"/>
        </w:rPr>
        <w:t xml:space="preserve">Rabinal, Guatemala: Museo Comunitario Rabinal </w:t>
      </w:r>
      <w:proofErr w:type="spellStart"/>
      <w:r w:rsidRPr="00FB7753">
        <w:rPr>
          <w:rFonts w:ascii="Garamond" w:hAnsi="Garamond"/>
          <w:lang w:val="es-ES"/>
        </w:rPr>
        <w:t>Achi</w:t>
      </w:r>
      <w:proofErr w:type="spellEnd"/>
      <w:r w:rsidRPr="00FB7753">
        <w:rPr>
          <w:rFonts w:ascii="Garamond" w:hAnsi="Garamond"/>
          <w:lang w:val="es-ES"/>
        </w:rPr>
        <w:t xml:space="preserve">. </w:t>
      </w:r>
    </w:p>
    <w:p w14:paraId="5D555675" w14:textId="77777777" w:rsidR="003F3E39" w:rsidRPr="00FB7753" w:rsidRDefault="003F3E39" w:rsidP="003F3E39">
      <w:pPr>
        <w:ind w:left="720" w:hanging="720"/>
        <w:contextualSpacing/>
        <w:rPr>
          <w:rFonts w:ascii="Garamond" w:hAnsi="Garamond"/>
        </w:rPr>
      </w:pPr>
      <w:r w:rsidRPr="00FB7753">
        <w:rPr>
          <w:rFonts w:ascii="Garamond" w:hAnsi="Garamond"/>
        </w:rPr>
        <w:t xml:space="preserve">Oglesby, Elizabeth. 2007a. “Educating citizens in postwar Guatemala: Historical memory, genocide, and the culture of peace.” </w:t>
      </w:r>
      <w:r w:rsidRPr="00FB7753">
        <w:rPr>
          <w:rFonts w:ascii="Garamond" w:hAnsi="Garamond"/>
          <w:i/>
        </w:rPr>
        <w:t xml:space="preserve">Radical history review </w:t>
      </w:r>
      <w:r w:rsidRPr="00FB7753">
        <w:rPr>
          <w:rFonts w:ascii="Garamond" w:hAnsi="Garamond"/>
        </w:rPr>
        <w:t>97: 77-98.</w:t>
      </w:r>
    </w:p>
    <w:p w14:paraId="2DE2AD3B" w14:textId="77777777" w:rsidR="003F3E39" w:rsidRPr="00FB7753" w:rsidRDefault="003F3E39" w:rsidP="003F3E39">
      <w:pPr>
        <w:ind w:left="720" w:hanging="720"/>
        <w:contextualSpacing/>
        <w:rPr>
          <w:rFonts w:ascii="Garamond" w:hAnsi="Garamond"/>
        </w:rPr>
      </w:pPr>
      <w:r w:rsidRPr="00FB7753">
        <w:rPr>
          <w:rFonts w:ascii="Garamond" w:hAnsi="Garamond"/>
        </w:rPr>
        <w:t xml:space="preserve">Oglesby, Elizabeth. 2007b. “Historical memory and the limits of peace education: Examining Guatemala’s memory of silence and the politics of curriculum design.” In </w:t>
      </w:r>
      <w:r w:rsidRPr="00FB7753">
        <w:rPr>
          <w:rFonts w:ascii="Garamond" w:hAnsi="Garamond"/>
          <w:i/>
        </w:rPr>
        <w:t>Teaching the violent past: History education and reconciliation</w:t>
      </w:r>
      <w:r w:rsidRPr="00FB7753">
        <w:rPr>
          <w:rFonts w:ascii="Garamond" w:hAnsi="Garamond"/>
        </w:rPr>
        <w:t>, edited by E. Cole, 175-202. Lanham, MD: Rowman &amp; Littlefield.</w:t>
      </w:r>
    </w:p>
    <w:p w14:paraId="6C1C8B65" w14:textId="77777777" w:rsidR="003F3E39" w:rsidRPr="00FB7753" w:rsidRDefault="003F3E39" w:rsidP="003F3E39">
      <w:pPr>
        <w:ind w:left="720" w:hanging="720"/>
        <w:contextualSpacing/>
        <w:rPr>
          <w:rFonts w:ascii="Garamond" w:hAnsi="Garamond"/>
          <w:color w:val="1A1A1A"/>
          <w:lang w:eastAsia="ja-JP"/>
        </w:rPr>
      </w:pPr>
      <w:r w:rsidRPr="00FB7753">
        <w:rPr>
          <w:rFonts w:ascii="Garamond" w:hAnsi="Garamond"/>
          <w:color w:val="1A1A1A"/>
          <w:lang w:eastAsia="ja-JP"/>
        </w:rPr>
        <w:t xml:space="preserve">Paulson, Julia, ed. 2011. </w:t>
      </w:r>
      <w:r w:rsidRPr="00FB7753">
        <w:rPr>
          <w:rFonts w:ascii="Garamond" w:hAnsi="Garamond"/>
          <w:i/>
          <w:color w:val="1A1A1A"/>
          <w:lang w:eastAsia="ja-JP"/>
        </w:rPr>
        <w:t>Education and Reconciliation: Exploring Conflict and Post-Conflict Situations.</w:t>
      </w:r>
      <w:r w:rsidRPr="00FB7753">
        <w:rPr>
          <w:rFonts w:ascii="Garamond" w:hAnsi="Garamond"/>
          <w:color w:val="1A1A1A"/>
          <w:lang w:eastAsia="ja-JP"/>
        </w:rPr>
        <w:t>” New York: Continuum.</w:t>
      </w:r>
    </w:p>
    <w:p w14:paraId="1E1C8F2A" w14:textId="77777777" w:rsidR="003F3E39" w:rsidRPr="00FB7753" w:rsidRDefault="003F3E39" w:rsidP="003F3E39">
      <w:pPr>
        <w:ind w:left="720" w:hanging="720"/>
        <w:contextualSpacing/>
        <w:rPr>
          <w:rFonts w:ascii="Garamond" w:hAnsi="Garamond"/>
          <w:noProof/>
        </w:rPr>
      </w:pPr>
      <w:r w:rsidRPr="00FB7753">
        <w:rPr>
          <w:rFonts w:ascii="Garamond" w:hAnsi="Garamond"/>
          <w:noProof/>
        </w:rPr>
        <w:t xml:space="preserve">Paulson, J. 2017. “From truth to textbook: The Peruvian Truth and Reconciliation Commission, educational resources, and the challenges of teaching about recent conflict.” In </w:t>
      </w:r>
      <w:r w:rsidRPr="00FB7753">
        <w:rPr>
          <w:rFonts w:ascii="Garamond" w:hAnsi="Garamond"/>
          <w:i/>
          <w:noProof/>
        </w:rPr>
        <w:t xml:space="preserve">(Re)constructing </w:t>
      </w:r>
      <w:r w:rsidRPr="00FB7753">
        <w:rPr>
          <w:rFonts w:ascii="Garamond" w:hAnsi="Garamond"/>
          <w:i/>
          <w:noProof/>
        </w:rPr>
        <w:lastRenderedPageBreak/>
        <w:t xml:space="preserve">Memory: Education, Identity, and Conflict, </w:t>
      </w:r>
      <w:r w:rsidRPr="00FB7753">
        <w:rPr>
          <w:rFonts w:ascii="Garamond" w:hAnsi="Garamond"/>
          <w:noProof/>
        </w:rPr>
        <w:t>edited by</w:t>
      </w:r>
      <w:r w:rsidRPr="00FB7753">
        <w:rPr>
          <w:rFonts w:ascii="Garamond" w:hAnsi="Garamond"/>
          <w:i/>
          <w:noProof/>
        </w:rPr>
        <w:t xml:space="preserve"> </w:t>
      </w:r>
      <w:r w:rsidRPr="00FB7753">
        <w:rPr>
          <w:rFonts w:ascii="Garamond" w:hAnsi="Garamond"/>
          <w:noProof/>
        </w:rPr>
        <w:t>M. J. Bellino and J. H. Williams, 291-311. Rotterdam, The Netherlands: Sense Publishers.</w:t>
      </w:r>
    </w:p>
    <w:p w14:paraId="48AD0045"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Peterson, Brandt G. 2006. “Consuming Histories: The Return of the Indian in Neoliberal El Salvador.” </w:t>
      </w:r>
      <w:r w:rsidRPr="00FB7753">
        <w:rPr>
          <w:rFonts w:ascii="Garamond" w:hAnsi="Garamond"/>
          <w:i/>
          <w:noProof/>
        </w:rPr>
        <w:t xml:space="preserve">Cultural Dynamics </w:t>
      </w:r>
      <w:r w:rsidRPr="00FB7753">
        <w:rPr>
          <w:rFonts w:ascii="Garamond" w:hAnsi="Garamond"/>
          <w:noProof/>
        </w:rPr>
        <w:t xml:space="preserve">18 (2): 163-188. </w:t>
      </w:r>
    </w:p>
    <w:p w14:paraId="2FF031E1" w14:textId="77777777" w:rsidR="003F3E39" w:rsidRPr="00FB7753" w:rsidRDefault="003F3E39" w:rsidP="003F3E39">
      <w:pPr>
        <w:ind w:left="720" w:hanging="720"/>
        <w:contextualSpacing/>
        <w:rPr>
          <w:rFonts w:ascii="Garamond" w:hAnsi="Garamond"/>
          <w:color w:val="1A1A1A"/>
          <w:lang w:eastAsia="ja-JP"/>
        </w:rPr>
      </w:pPr>
      <w:proofErr w:type="spellStart"/>
      <w:r w:rsidRPr="00FB7753">
        <w:rPr>
          <w:rFonts w:ascii="Garamond" w:hAnsi="Garamond"/>
          <w:color w:val="1A1A1A"/>
          <w:lang w:eastAsia="ja-JP"/>
        </w:rPr>
        <w:t>Rosaldo</w:t>
      </w:r>
      <w:proofErr w:type="spellEnd"/>
      <w:r w:rsidRPr="00FB7753">
        <w:rPr>
          <w:rFonts w:ascii="Garamond" w:hAnsi="Garamond"/>
          <w:color w:val="1A1A1A"/>
          <w:lang w:eastAsia="ja-JP"/>
        </w:rPr>
        <w:t>, Renato. 1999. “</w:t>
      </w:r>
      <w:r w:rsidRPr="00FB7753">
        <w:rPr>
          <w:rFonts w:ascii="Garamond" w:hAnsi="Garamond"/>
          <w:lang w:eastAsia="ja-JP"/>
        </w:rPr>
        <w:t xml:space="preserve">Cultural citizenship, inequality, and multiculturalism.” In </w:t>
      </w:r>
      <w:r w:rsidRPr="00FB7753">
        <w:rPr>
          <w:rFonts w:ascii="Garamond" w:hAnsi="Garamond"/>
          <w:i/>
          <w:iCs/>
          <w:lang w:eastAsia="ja-JP"/>
        </w:rPr>
        <w:t xml:space="preserve">Race, Identity, and Citizenship: A Reader, </w:t>
      </w:r>
      <w:r w:rsidRPr="00FB7753">
        <w:rPr>
          <w:rFonts w:ascii="Garamond" w:hAnsi="Garamond"/>
          <w:iCs/>
          <w:lang w:eastAsia="ja-JP"/>
        </w:rPr>
        <w:t>edited by</w:t>
      </w:r>
      <w:r w:rsidRPr="00FB7753">
        <w:rPr>
          <w:rFonts w:ascii="Garamond" w:hAnsi="Garamond"/>
          <w:i/>
          <w:iCs/>
          <w:lang w:eastAsia="ja-JP"/>
        </w:rPr>
        <w:t xml:space="preserve"> </w:t>
      </w:r>
      <w:r w:rsidRPr="00FB7753">
        <w:rPr>
          <w:rFonts w:ascii="Garamond" w:hAnsi="Garamond"/>
          <w:lang w:eastAsia="ja-JP"/>
        </w:rPr>
        <w:t xml:space="preserve">R. Torres, L. </w:t>
      </w:r>
      <w:proofErr w:type="spellStart"/>
      <w:r w:rsidRPr="00FB7753">
        <w:rPr>
          <w:rFonts w:ascii="Garamond" w:hAnsi="Garamond"/>
          <w:lang w:eastAsia="ja-JP"/>
        </w:rPr>
        <w:t>Miron</w:t>
      </w:r>
      <w:proofErr w:type="spellEnd"/>
      <w:r w:rsidRPr="00FB7753">
        <w:rPr>
          <w:rFonts w:ascii="Garamond" w:hAnsi="Garamond"/>
          <w:lang w:eastAsia="ja-JP"/>
        </w:rPr>
        <w:t xml:space="preserve"> and J. </w:t>
      </w:r>
      <w:proofErr w:type="spellStart"/>
      <w:r w:rsidRPr="00FB7753">
        <w:rPr>
          <w:rFonts w:ascii="Garamond" w:hAnsi="Garamond"/>
          <w:lang w:eastAsia="ja-JP"/>
        </w:rPr>
        <w:t>Inda</w:t>
      </w:r>
      <w:proofErr w:type="spellEnd"/>
      <w:r w:rsidRPr="00FB7753">
        <w:rPr>
          <w:rFonts w:ascii="Garamond" w:hAnsi="Garamond"/>
          <w:lang w:eastAsia="ja-JP"/>
        </w:rPr>
        <w:t>, 253-261. Malden, MA: Blackwell Publishers.</w:t>
      </w:r>
    </w:p>
    <w:p w14:paraId="2CB66446" w14:textId="77777777" w:rsidR="003F3E39" w:rsidRPr="00FB7753" w:rsidRDefault="003F3E39" w:rsidP="003F3E39">
      <w:pPr>
        <w:ind w:left="720" w:hanging="720"/>
        <w:contextualSpacing/>
        <w:rPr>
          <w:rFonts w:ascii="Garamond" w:hAnsi="Garamond"/>
          <w:noProof/>
        </w:rPr>
      </w:pPr>
      <w:r w:rsidRPr="00FB7753">
        <w:rPr>
          <w:rFonts w:ascii="Garamond" w:hAnsi="Garamond"/>
          <w:noProof/>
        </w:rPr>
        <w:t xml:space="preserve">Rubin, B. C. 2016. “We Come to form Ourselves Bit by Bit: Educating for Citizenship in Post-Conflict Guatemala.” </w:t>
      </w:r>
      <w:r w:rsidRPr="00FB7753">
        <w:rPr>
          <w:rFonts w:ascii="Garamond" w:hAnsi="Garamond"/>
          <w:i/>
          <w:noProof/>
        </w:rPr>
        <w:t xml:space="preserve">American Educational Research Journal 53 </w:t>
      </w:r>
      <w:r w:rsidRPr="00FB7753">
        <w:rPr>
          <w:rFonts w:ascii="Garamond" w:hAnsi="Garamond"/>
          <w:noProof/>
        </w:rPr>
        <w:t xml:space="preserve">(3): 639-672. </w:t>
      </w:r>
    </w:p>
    <w:p w14:paraId="6C319B9B"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Samour, Héctor. 2012. Vice Minister of Education. Interview with author. San Salvador, El Salvador, April 16. </w:t>
      </w:r>
    </w:p>
    <w:p w14:paraId="462B82C4" w14:textId="77777777" w:rsidR="003F3E39" w:rsidRPr="00FB7753" w:rsidRDefault="003F3E39" w:rsidP="003F3E39">
      <w:pPr>
        <w:ind w:left="720" w:hanging="720"/>
        <w:contextualSpacing/>
        <w:rPr>
          <w:rFonts w:ascii="Garamond" w:hAnsi="Garamond"/>
          <w:color w:val="000000"/>
        </w:rPr>
      </w:pPr>
      <w:r w:rsidRPr="00FB7753">
        <w:rPr>
          <w:rFonts w:ascii="Garamond" w:hAnsi="Garamond"/>
          <w:color w:val="000000"/>
        </w:rPr>
        <w:t xml:space="preserve">Sanford, Victoria. 2003. </w:t>
      </w:r>
      <w:r w:rsidRPr="00FB7753">
        <w:rPr>
          <w:rFonts w:ascii="Garamond" w:hAnsi="Garamond"/>
          <w:i/>
          <w:iCs/>
          <w:color w:val="000000"/>
        </w:rPr>
        <w:t xml:space="preserve">Buried Secrets: Truth and Human Rights in Guatemala. </w:t>
      </w:r>
      <w:r w:rsidRPr="00FB7753">
        <w:rPr>
          <w:rFonts w:ascii="Garamond" w:hAnsi="Garamond"/>
          <w:color w:val="000000"/>
        </w:rPr>
        <w:t>New York: Palgrave.</w:t>
      </w:r>
    </w:p>
    <w:p w14:paraId="0E4483FB" w14:textId="77777777" w:rsidR="003F3E39" w:rsidRPr="00FB7753" w:rsidRDefault="003F3E39" w:rsidP="003F3E39">
      <w:pPr>
        <w:pStyle w:val="EndnoteText"/>
        <w:ind w:left="720" w:hanging="720"/>
        <w:contextualSpacing/>
        <w:rPr>
          <w:rFonts w:ascii="Garamond" w:hAnsi="Garamond"/>
        </w:rPr>
      </w:pPr>
      <w:proofErr w:type="spellStart"/>
      <w:r w:rsidRPr="00FB7753">
        <w:rPr>
          <w:rFonts w:ascii="Garamond" w:hAnsi="Garamond"/>
        </w:rPr>
        <w:t>Sieder</w:t>
      </w:r>
      <w:proofErr w:type="spellEnd"/>
      <w:r w:rsidRPr="00FB7753">
        <w:rPr>
          <w:rFonts w:ascii="Garamond" w:hAnsi="Garamond"/>
        </w:rPr>
        <w:t xml:space="preserve">, Rachel. 1999. “Rethinking democratization and citizenship: Legal pluralism and institutional reform in Guatemala.” </w:t>
      </w:r>
      <w:r w:rsidRPr="00FB7753">
        <w:rPr>
          <w:rFonts w:ascii="Garamond" w:hAnsi="Garamond"/>
          <w:i/>
        </w:rPr>
        <w:t xml:space="preserve">Citizenship Studies </w:t>
      </w:r>
      <w:r w:rsidRPr="00FB7753">
        <w:rPr>
          <w:rFonts w:ascii="Garamond" w:hAnsi="Garamond"/>
        </w:rPr>
        <w:t>3 (1): 103-118.</w:t>
      </w:r>
    </w:p>
    <w:p w14:paraId="7587E170"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Tilley, Virginia. 2005. </w:t>
      </w:r>
      <w:r w:rsidRPr="00FB7753">
        <w:rPr>
          <w:rFonts w:ascii="Garamond" w:hAnsi="Garamond"/>
          <w:i/>
          <w:noProof/>
        </w:rPr>
        <w:t>Seeing Indians: A Study of Race, Nation, and Power in El Salvador</w:t>
      </w:r>
      <w:r w:rsidRPr="00FB7753">
        <w:rPr>
          <w:rFonts w:ascii="Garamond" w:hAnsi="Garamond"/>
          <w:noProof/>
        </w:rPr>
        <w:t>. Albuquerque: University of New Mexico Press.</w:t>
      </w:r>
    </w:p>
    <w:p w14:paraId="78E07ACC"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Tilly, Charles. 2007. </w:t>
      </w:r>
      <w:r w:rsidRPr="00FB7753">
        <w:rPr>
          <w:rFonts w:ascii="Garamond" w:hAnsi="Garamond"/>
          <w:i/>
          <w:noProof/>
        </w:rPr>
        <w:t>Democracy</w:t>
      </w:r>
      <w:r w:rsidRPr="00FB7753">
        <w:rPr>
          <w:rFonts w:ascii="Garamond" w:hAnsi="Garamond"/>
          <w:noProof/>
        </w:rPr>
        <w:t>. New York: Cambridge University Press.</w:t>
      </w:r>
    </w:p>
    <w:p w14:paraId="56D3E0B7" w14:textId="77777777" w:rsidR="003F3E39" w:rsidRPr="00FB7753" w:rsidRDefault="003F3E39" w:rsidP="003F3E39">
      <w:pPr>
        <w:ind w:left="720" w:hanging="720"/>
        <w:contextualSpacing/>
        <w:rPr>
          <w:rFonts w:ascii="Garamond" w:hAnsi="Garamond"/>
          <w:lang w:val="es-MX"/>
        </w:rPr>
      </w:pPr>
      <w:r w:rsidRPr="00FB7753">
        <w:rPr>
          <w:rFonts w:ascii="Garamond" w:hAnsi="Garamond"/>
        </w:rPr>
        <w:t xml:space="preserve">Torres-Rivas, </w:t>
      </w:r>
      <w:proofErr w:type="spellStart"/>
      <w:r w:rsidRPr="00FB7753">
        <w:rPr>
          <w:rFonts w:ascii="Garamond" w:hAnsi="Garamond"/>
        </w:rPr>
        <w:t>Edelberto</w:t>
      </w:r>
      <w:proofErr w:type="spellEnd"/>
      <w:r w:rsidRPr="00FB7753">
        <w:rPr>
          <w:rFonts w:ascii="Garamond" w:hAnsi="Garamond"/>
        </w:rPr>
        <w:t xml:space="preserve">. 1999. “Epilogue: Notes on terror, violence, fear, and democracy.” In </w:t>
      </w:r>
      <w:r w:rsidRPr="00FB7753">
        <w:rPr>
          <w:rFonts w:ascii="Garamond" w:hAnsi="Garamond"/>
          <w:i/>
        </w:rPr>
        <w:t>Societies of Fear: The Legacy of Civil War, Violence, and Terror in Latin America</w:t>
      </w:r>
      <w:r w:rsidRPr="00FB7753">
        <w:rPr>
          <w:rFonts w:ascii="Garamond" w:hAnsi="Garamond"/>
        </w:rPr>
        <w:t xml:space="preserve">, edited by K. </w:t>
      </w:r>
      <w:proofErr w:type="spellStart"/>
      <w:r w:rsidRPr="00FB7753">
        <w:rPr>
          <w:rFonts w:ascii="Garamond" w:hAnsi="Garamond"/>
        </w:rPr>
        <w:t>Koonings</w:t>
      </w:r>
      <w:proofErr w:type="spellEnd"/>
      <w:r w:rsidRPr="00FB7753">
        <w:rPr>
          <w:rFonts w:ascii="Garamond" w:hAnsi="Garamond"/>
        </w:rPr>
        <w:t xml:space="preserve"> and D. </w:t>
      </w:r>
      <w:proofErr w:type="spellStart"/>
      <w:r w:rsidRPr="00FB7753">
        <w:rPr>
          <w:rFonts w:ascii="Garamond" w:hAnsi="Garamond"/>
        </w:rPr>
        <w:t>Krujit</w:t>
      </w:r>
      <w:proofErr w:type="spellEnd"/>
      <w:r w:rsidRPr="00FB7753">
        <w:rPr>
          <w:rFonts w:ascii="Garamond" w:hAnsi="Garamond"/>
        </w:rPr>
        <w:t xml:space="preserve">, 285-300. </w:t>
      </w:r>
      <w:r w:rsidRPr="00FB7753">
        <w:rPr>
          <w:rFonts w:ascii="Garamond" w:hAnsi="Garamond"/>
          <w:lang w:val="es-MX"/>
        </w:rPr>
        <w:t>New York: St. Martin’s Press.</w:t>
      </w:r>
    </w:p>
    <w:p w14:paraId="1960A905" w14:textId="77777777" w:rsidR="003F3E39" w:rsidRPr="00FB7753" w:rsidRDefault="003F3E39" w:rsidP="003F3E39">
      <w:pPr>
        <w:ind w:left="720" w:hanging="720"/>
        <w:contextualSpacing/>
        <w:rPr>
          <w:rFonts w:ascii="Garamond" w:hAnsi="Garamond"/>
          <w:lang w:val="es-MX"/>
        </w:rPr>
      </w:pPr>
      <w:r w:rsidRPr="00FB7753">
        <w:rPr>
          <w:rFonts w:ascii="Garamond" w:hAnsi="Garamond"/>
          <w:lang w:val="es-MX"/>
        </w:rPr>
        <w:t xml:space="preserve">Torres-Rivas, Edelberto. 2006. “Guatemala: Desarollo, democracy y los Acuerdos de Paz.” </w:t>
      </w:r>
      <w:r w:rsidRPr="00FB7753">
        <w:rPr>
          <w:rFonts w:ascii="Garamond" w:hAnsi="Garamond"/>
          <w:i/>
          <w:lang w:val="es-MX"/>
        </w:rPr>
        <w:t>Revista Centroamericana de Ciencias Sociales</w:t>
      </w:r>
      <w:r w:rsidRPr="00FB7753">
        <w:rPr>
          <w:rFonts w:ascii="Garamond" w:hAnsi="Garamond"/>
          <w:lang w:val="es-MX"/>
        </w:rPr>
        <w:t xml:space="preserve"> 3 (2): 11-48.</w:t>
      </w:r>
    </w:p>
    <w:p w14:paraId="2C40E4CF" w14:textId="77777777" w:rsidR="003F3E39" w:rsidRPr="00FB7753" w:rsidRDefault="003F3E39" w:rsidP="003F3E39">
      <w:pPr>
        <w:ind w:left="720" w:hanging="720"/>
        <w:contextualSpacing/>
        <w:rPr>
          <w:rFonts w:ascii="Garamond" w:hAnsi="Garamond"/>
          <w:lang w:val="es-ES"/>
        </w:rPr>
      </w:pPr>
      <w:r w:rsidRPr="00FB7753">
        <w:rPr>
          <w:rFonts w:ascii="Garamond" w:hAnsi="Garamond"/>
          <w:lang w:val="es-ES"/>
        </w:rPr>
        <w:t xml:space="preserve">UDEFEGUA (Unidad de Protección a Defensoras y Defensores de Derechos Humanos de Guatemala). 2011. </w:t>
      </w:r>
      <w:r w:rsidRPr="00FB7753">
        <w:rPr>
          <w:rFonts w:ascii="Garamond" w:hAnsi="Garamond"/>
          <w:i/>
          <w:lang w:val="es-ES"/>
        </w:rPr>
        <w:t>Permitido Denunciar</w:t>
      </w:r>
      <w:r w:rsidRPr="00FB7753">
        <w:rPr>
          <w:rFonts w:ascii="Garamond" w:hAnsi="Garamond"/>
          <w:lang w:val="es-ES"/>
        </w:rPr>
        <w:t>. Guatemala City, Guatemala: UDEFEGUA.</w:t>
      </w:r>
    </w:p>
    <w:p w14:paraId="50969152"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lang w:val="es-ES"/>
        </w:rPr>
        <w:t xml:space="preserve">United Nations Commission on the Truth for El Salvador, Bentancur, Belisario, Figueredo Planchart, Reinaldo, and Buergenthal, Thomas. </w:t>
      </w:r>
      <w:r w:rsidRPr="00FB7753">
        <w:rPr>
          <w:rFonts w:ascii="Garamond" w:hAnsi="Garamond"/>
          <w:noProof/>
        </w:rPr>
        <w:t xml:space="preserve">1993. “From Madness to Hope: The 12-year war in El Salvador.” </w:t>
      </w:r>
      <w:r w:rsidRPr="00FB7753">
        <w:rPr>
          <w:rFonts w:ascii="Garamond" w:hAnsi="Garamond"/>
          <w:i/>
          <w:noProof/>
        </w:rPr>
        <w:t xml:space="preserve">Report of the Commission on the Truth for El Salvador. </w:t>
      </w:r>
      <w:r w:rsidRPr="00FB7753">
        <w:rPr>
          <w:rFonts w:ascii="Garamond" w:hAnsi="Garamond"/>
          <w:noProof/>
        </w:rPr>
        <w:t>New York: United Nations.</w:t>
      </w:r>
    </w:p>
    <w:p w14:paraId="3B51D280" w14:textId="77777777" w:rsidR="003F3E39" w:rsidRPr="00FB7753" w:rsidRDefault="003F3E39" w:rsidP="003F3E39">
      <w:pPr>
        <w:ind w:left="720" w:hanging="720"/>
        <w:contextualSpacing/>
        <w:rPr>
          <w:rFonts w:ascii="Garamond" w:hAnsi="Garamond"/>
          <w:noProof/>
        </w:rPr>
      </w:pPr>
      <w:r w:rsidRPr="00FB7753">
        <w:rPr>
          <w:rFonts w:ascii="Garamond" w:hAnsi="Garamond"/>
          <w:noProof/>
        </w:rPr>
        <w:t xml:space="preserve">Valdiviezo, L. A. 2009. “‘Don't you want your child to be better than you?’: Enacting ideologies and contesting intercultural policy in Peru.” In </w:t>
      </w:r>
      <w:r w:rsidRPr="00FB7753">
        <w:rPr>
          <w:rFonts w:ascii="Garamond" w:hAnsi="Garamond"/>
          <w:i/>
          <w:noProof/>
        </w:rPr>
        <w:t xml:space="preserve">Critical Approaches to Comparative Education: Vertical Case Studies from Africa, Europe, the Middle East, and the Americas, </w:t>
      </w:r>
      <w:r w:rsidRPr="00FB7753">
        <w:rPr>
          <w:rFonts w:ascii="Garamond" w:hAnsi="Garamond"/>
          <w:noProof/>
        </w:rPr>
        <w:t>edited by F. Vavrus and L. Bartlett, 147-162. New York: Palgrave Macmillan.</w:t>
      </w:r>
    </w:p>
    <w:p w14:paraId="4D055EED"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Weld, K. A. 2012. “Dignifying the guerrillero, not the assassin: Rewriting a history of criminal subversion in postwar Guatemala.” </w:t>
      </w:r>
      <w:r w:rsidRPr="00FB7753">
        <w:rPr>
          <w:rFonts w:ascii="Garamond" w:hAnsi="Garamond"/>
          <w:i/>
          <w:noProof/>
        </w:rPr>
        <w:t>Radical History Review 113</w:t>
      </w:r>
      <w:r w:rsidRPr="00FB7753">
        <w:rPr>
          <w:rFonts w:ascii="Garamond" w:hAnsi="Garamond"/>
          <w:noProof/>
        </w:rPr>
        <w:t xml:space="preserve">: 35-54. </w:t>
      </w:r>
    </w:p>
    <w:p w14:paraId="62178F8C" w14:textId="77777777" w:rsidR="003F3E39" w:rsidRPr="00FB7753" w:rsidRDefault="003F3E39" w:rsidP="003F3E39">
      <w:pPr>
        <w:ind w:left="720" w:hanging="720"/>
        <w:contextualSpacing/>
        <w:rPr>
          <w:rFonts w:ascii="Garamond" w:hAnsi="Garamond"/>
        </w:rPr>
      </w:pPr>
      <w:r w:rsidRPr="00FB7753">
        <w:rPr>
          <w:rFonts w:ascii="Garamond" w:hAnsi="Garamond"/>
        </w:rPr>
        <w:t xml:space="preserve">Weld, Kirsten A. 2014. </w:t>
      </w:r>
      <w:r w:rsidRPr="00FB7753">
        <w:rPr>
          <w:rFonts w:ascii="Garamond" w:hAnsi="Garamond"/>
          <w:i/>
        </w:rPr>
        <w:t>Paper Cadavers: The Archives of Dictatorship in Guatemala</w:t>
      </w:r>
      <w:r w:rsidRPr="00FB7753">
        <w:rPr>
          <w:rFonts w:ascii="Garamond" w:hAnsi="Garamond"/>
        </w:rPr>
        <w:t>. Durham, NC: Duke University Press.</w:t>
      </w:r>
    </w:p>
    <w:p w14:paraId="3CEAEBD0" w14:textId="77777777" w:rsidR="003F3E39" w:rsidRPr="00FB7753" w:rsidRDefault="003F3E39" w:rsidP="003F3E39">
      <w:pPr>
        <w:pStyle w:val="EndNoteBibliography"/>
        <w:spacing w:after="0"/>
        <w:ind w:left="720" w:hanging="720"/>
        <w:contextualSpacing/>
        <w:rPr>
          <w:rFonts w:ascii="Garamond" w:hAnsi="Garamond"/>
          <w:noProof/>
        </w:rPr>
      </w:pPr>
      <w:r w:rsidRPr="00FB7753">
        <w:rPr>
          <w:rFonts w:ascii="Garamond" w:hAnsi="Garamond"/>
          <w:noProof/>
        </w:rPr>
        <w:t xml:space="preserve">Wood, Elisabeth Jean. 2008. “The Social Processes of Civil War: The Wartime Transformation of Social Networks.” </w:t>
      </w:r>
      <w:r w:rsidRPr="00FB7753">
        <w:rPr>
          <w:rFonts w:ascii="Garamond" w:hAnsi="Garamond"/>
          <w:i/>
          <w:noProof/>
        </w:rPr>
        <w:t xml:space="preserve">Annual Review of Political Science </w:t>
      </w:r>
      <w:r w:rsidRPr="00FB7753">
        <w:rPr>
          <w:rFonts w:ascii="Garamond" w:hAnsi="Garamond"/>
          <w:noProof/>
        </w:rPr>
        <w:t xml:space="preserve">11: 539–561. </w:t>
      </w:r>
    </w:p>
    <w:p w14:paraId="1B65715E" w14:textId="77777777" w:rsidR="003F3E39" w:rsidRPr="00FB7753" w:rsidRDefault="003F3E39" w:rsidP="003F3E39">
      <w:pPr>
        <w:ind w:left="720" w:hanging="720"/>
        <w:contextualSpacing/>
        <w:rPr>
          <w:rFonts w:ascii="Garamond" w:hAnsi="Garamond"/>
        </w:rPr>
      </w:pPr>
      <w:r w:rsidRPr="00FB7753">
        <w:rPr>
          <w:rFonts w:ascii="Garamond" w:hAnsi="Garamond"/>
        </w:rPr>
        <w:t xml:space="preserve">World Bank. 2015. </w:t>
      </w:r>
      <w:r w:rsidRPr="00FB7753">
        <w:rPr>
          <w:rFonts w:ascii="Garamond" w:hAnsi="Garamond"/>
          <w:i/>
        </w:rPr>
        <w:t>Indigenous Latin America in the Twenty-first Century</w:t>
      </w:r>
      <w:r w:rsidRPr="00FB7753">
        <w:rPr>
          <w:rFonts w:ascii="Garamond" w:hAnsi="Garamond"/>
        </w:rPr>
        <w:t xml:space="preserve">. Washington, DC: World Bank. </w:t>
      </w:r>
    </w:p>
    <w:p w14:paraId="1DBADEB8" w14:textId="77777777" w:rsidR="003F3E39" w:rsidRPr="00FB7753" w:rsidRDefault="003F3E39" w:rsidP="003F3E39">
      <w:pPr>
        <w:ind w:firstLine="720"/>
        <w:rPr>
          <w:rFonts w:ascii="Garamond" w:hAnsi="Garamond"/>
        </w:rPr>
      </w:pPr>
    </w:p>
    <w:p w14:paraId="67602FE2" w14:textId="77777777" w:rsidR="00FB7753" w:rsidRPr="00FB7753" w:rsidRDefault="00FB7753">
      <w:pPr>
        <w:ind w:firstLine="720"/>
        <w:rPr>
          <w:rFonts w:ascii="Garamond" w:hAnsi="Garamond"/>
        </w:rPr>
      </w:pPr>
    </w:p>
    <w:sectPr w:rsidR="00FB7753" w:rsidRPr="00FB7753" w:rsidSect="00741B38">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0D59B4" w14:textId="77777777" w:rsidR="005D1CB4" w:rsidRDefault="005D1CB4" w:rsidP="00143A6C">
      <w:r>
        <w:separator/>
      </w:r>
    </w:p>
  </w:endnote>
  <w:endnote w:type="continuationSeparator" w:id="0">
    <w:p w14:paraId="2290B6CC" w14:textId="77777777" w:rsidR="005D1CB4" w:rsidRDefault="005D1CB4" w:rsidP="00143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4168047"/>
      <w:docPartObj>
        <w:docPartGallery w:val="Page Numbers (Bottom of Page)"/>
        <w:docPartUnique/>
      </w:docPartObj>
    </w:sdtPr>
    <w:sdtEndPr>
      <w:rPr>
        <w:rStyle w:val="PageNumber"/>
      </w:rPr>
    </w:sdtEndPr>
    <w:sdtContent>
      <w:p w14:paraId="51D36094" w14:textId="77777777" w:rsidR="00143A6C" w:rsidRDefault="00143A6C" w:rsidP="00986B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2CED60" w14:textId="77777777" w:rsidR="00143A6C" w:rsidRDefault="00143A6C" w:rsidP="00143A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90142769"/>
      <w:docPartObj>
        <w:docPartGallery w:val="Page Numbers (Bottom of Page)"/>
        <w:docPartUnique/>
      </w:docPartObj>
    </w:sdtPr>
    <w:sdtEndPr>
      <w:rPr>
        <w:rStyle w:val="PageNumber"/>
      </w:rPr>
    </w:sdtEndPr>
    <w:sdtContent>
      <w:p w14:paraId="3BE6AE28" w14:textId="77777777" w:rsidR="00143A6C" w:rsidRDefault="00143A6C" w:rsidP="00986B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54B9A">
          <w:rPr>
            <w:rStyle w:val="PageNumber"/>
            <w:noProof/>
          </w:rPr>
          <w:t>2</w:t>
        </w:r>
        <w:r>
          <w:rPr>
            <w:rStyle w:val="PageNumber"/>
          </w:rPr>
          <w:fldChar w:fldCharType="end"/>
        </w:r>
      </w:p>
    </w:sdtContent>
  </w:sdt>
  <w:p w14:paraId="1BB3F93E" w14:textId="77777777" w:rsidR="00143A6C" w:rsidRDefault="00143A6C" w:rsidP="00143A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4D4896" w14:textId="77777777" w:rsidR="005D1CB4" w:rsidRDefault="005D1CB4" w:rsidP="00143A6C">
      <w:r>
        <w:separator/>
      </w:r>
    </w:p>
  </w:footnote>
  <w:footnote w:type="continuationSeparator" w:id="0">
    <w:p w14:paraId="635E9678" w14:textId="77777777" w:rsidR="005D1CB4" w:rsidRDefault="005D1CB4" w:rsidP="00143A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1"/>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384"/>
    <w:rsid w:val="00055DD2"/>
    <w:rsid w:val="000A4629"/>
    <w:rsid w:val="000B07F5"/>
    <w:rsid w:val="000B7292"/>
    <w:rsid w:val="000D5BF8"/>
    <w:rsid w:val="000F59E4"/>
    <w:rsid w:val="00100060"/>
    <w:rsid w:val="001247F5"/>
    <w:rsid w:val="00124CAA"/>
    <w:rsid w:val="0012593E"/>
    <w:rsid w:val="00143A6C"/>
    <w:rsid w:val="00147E1F"/>
    <w:rsid w:val="0015294B"/>
    <w:rsid w:val="001537D4"/>
    <w:rsid w:val="001618F3"/>
    <w:rsid w:val="00174BAB"/>
    <w:rsid w:val="001932AB"/>
    <w:rsid w:val="00193562"/>
    <w:rsid w:val="002107E3"/>
    <w:rsid w:val="002763BF"/>
    <w:rsid w:val="002822AA"/>
    <w:rsid w:val="002A4252"/>
    <w:rsid w:val="002B0A5B"/>
    <w:rsid w:val="002F2802"/>
    <w:rsid w:val="00377E6F"/>
    <w:rsid w:val="00392FEB"/>
    <w:rsid w:val="003944CF"/>
    <w:rsid w:val="003C2DEC"/>
    <w:rsid w:val="003E367C"/>
    <w:rsid w:val="003F3E39"/>
    <w:rsid w:val="0043049B"/>
    <w:rsid w:val="00445C96"/>
    <w:rsid w:val="00483F8B"/>
    <w:rsid w:val="004841BE"/>
    <w:rsid w:val="004B3E18"/>
    <w:rsid w:val="004D6242"/>
    <w:rsid w:val="004E2157"/>
    <w:rsid w:val="00515E85"/>
    <w:rsid w:val="0052260B"/>
    <w:rsid w:val="005247E9"/>
    <w:rsid w:val="00524F0D"/>
    <w:rsid w:val="005321A4"/>
    <w:rsid w:val="0053381B"/>
    <w:rsid w:val="00561B6A"/>
    <w:rsid w:val="005966F1"/>
    <w:rsid w:val="005D1CB4"/>
    <w:rsid w:val="005D5E76"/>
    <w:rsid w:val="006238C5"/>
    <w:rsid w:val="00635231"/>
    <w:rsid w:val="006A0618"/>
    <w:rsid w:val="006B06CE"/>
    <w:rsid w:val="006B2A2D"/>
    <w:rsid w:val="006B4B57"/>
    <w:rsid w:val="006C081A"/>
    <w:rsid w:val="006D4E33"/>
    <w:rsid w:val="006D5BD2"/>
    <w:rsid w:val="00703D43"/>
    <w:rsid w:val="00741B38"/>
    <w:rsid w:val="007446DB"/>
    <w:rsid w:val="00752AA2"/>
    <w:rsid w:val="00793175"/>
    <w:rsid w:val="00797668"/>
    <w:rsid w:val="007B395E"/>
    <w:rsid w:val="007B566E"/>
    <w:rsid w:val="007B73C1"/>
    <w:rsid w:val="007C4C57"/>
    <w:rsid w:val="007E720D"/>
    <w:rsid w:val="007F3916"/>
    <w:rsid w:val="007F709A"/>
    <w:rsid w:val="00806E99"/>
    <w:rsid w:val="008104A8"/>
    <w:rsid w:val="00822EB3"/>
    <w:rsid w:val="00845366"/>
    <w:rsid w:val="00854B9A"/>
    <w:rsid w:val="00874226"/>
    <w:rsid w:val="008A5A0D"/>
    <w:rsid w:val="008D0FD0"/>
    <w:rsid w:val="008F1D97"/>
    <w:rsid w:val="00921296"/>
    <w:rsid w:val="00943EB6"/>
    <w:rsid w:val="00956C6B"/>
    <w:rsid w:val="00964BFA"/>
    <w:rsid w:val="009903B3"/>
    <w:rsid w:val="00A16244"/>
    <w:rsid w:val="00A16CE0"/>
    <w:rsid w:val="00A208C3"/>
    <w:rsid w:val="00A25BCF"/>
    <w:rsid w:val="00A750DF"/>
    <w:rsid w:val="00A91AA1"/>
    <w:rsid w:val="00AA5FC7"/>
    <w:rsid w:val="00AB3AB8"/>
    <w:rsid w:val="00AD3A4D"/>
    <w:rsid w:val="00AD4B3F"/>
    <w:rsid w:val="00AD52F1"/>
    <w:rsid w:val="00AE1D61"/>
    <w:rsid w:val="00B0412E"/>
    <w:rsid w:val="00B20BC0"/>
    <w:rsid w:val="00B50E97"/>
    <w:rsid w:val="00B81D0B"/>
    <w:rsid w:val="00BA0D02"/>
    <w:rsid w:val="00BA128E"/>
    <w:rsid w:val="00BA2F1C"/>
    <w:rsid w:val="00BD3361"/>
    <w:rsid w:val="00C124E8"/>
    <w:rsid w:val="00C47207"/>
    <w:rsid w:val="00C816A6"/>
    <w:rsid w:val="00C94423"/>
    <w:rsid w:val="00CB67C6"/>
    <w:rsid w:val="00CC287D"/>
    <w:rsid w:val="00CC3CEB"/>
    <w:rsid w:val="00CC5133"/>
    <w:rsid w:val="00D31045"/>
    <w:rsid w:val="00D334C4"/>
    <w:rsid w:val="00D4472D"/>
    <w:rsid w:val="00D46AD4"/>
    <w:rsid w:val="00D51C1E"/>
    <w:rsid w:val="00D90251"/>
    <w:rsid w:val="00D96B7A"/>
    <w:rsid w:val="00E253A2"/>
    <w:rsid w:val="00E32A8A"/>
    <w:rsid w:val="00EC1557"/>
    <w:rsid w:val="00EE7384"/>
    <w:rsid w:val="00F34B9A"/>
    <w:rsid w:val="00F35760"/>
    <w:rsid w:val="00F856D7"/>
    <w:rsid w:val="00F875F4"/>
    <w:rsid w:val="00FA22D0"/>
    <w:rsid w:val="00FB094F"/>
    <w:rsid w:val="00FB7753"/>
    <w:rsid w:val="00FD38CC"/>
    <w:rsid w:val="00FF7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F0533"/>
  <w15:chartTrackingRefBased/>
  <w15:docId w15:val="{A53817F6-79AF-EF4E-B4D7-11A4859E4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43A6C"/>
    <w:pPr>
      <w:tabs>
        <w:tab w:val="center" w:pos="4680"/>
        <w:tab w:val="right" w:pos="9360"/>
      </w:tabs>
    </w:pPr>
  </w:style>
  <w:style w:type="character" w:customStyle="1" w:styleId="FooterChar">
    <w:name w:val="Footer Char"/>
    <w:basedOn w:val="DefaultParagraphFont"/>
    <w:link w:val="Footer"/>
    <w:uiPriority w:val="99"/>
    <w:rsid w:val="00143A6C"/>
  </w:style>
  <w:style w:type="character" w:styleId="PageNumber">
    <w:name w:val="page number"/>
    <w:basedOn w:val="DefaultParagraphFont"/>
    <w:uiPriority w:val="99"/>
    <w:semiHidden/>
    <w:unhideWhenUsed/>
    <w:rsid w:val="00143A6C"/>
  </w:style>
  <w:style w:type="paragraph" w:customStyle="1" w:styleId="EndNoteBibliography">
    <w:name w:val="EndNote Bibliography"/>
    <w:basedOn w:val="Normal"/>
    <w:rsid w:val="003F3E39"/>
    <w:pPr>
      <w:spacing w:after="200"/>
    </w:pPr>
    <w:rPr>
      <w:rFonts w:ascii="Times New Roman" w:eastAsia="Calibri" w:hAnsi="Times New Roman" w:cs="Times New Roman"/>
    </w:rPr>
  </w:style>
  <w:style w:type="paragraph" w:styleId="EndnoteText">
    <w:name w:val="endnote text"/>
    <w:basedOn w:val="Normal"/>
    <w:link w:val="EndnoteTextChar"/>
    <w:uiPriority w:val="99"/>
    <w:unhideWhenUsed/>
    <w:rsid w:val="003F3E39"/>
    <w:rPr>
      <w:rFonts w:ascii="Times New Roman" w:eastAsiaTheme="minorEastAsia" w:hAnsi="Times New Roman" w:cs="Times New Roman"/>
    </w:rPr>
  </w:style>
  <w:style w:type="character" w:customStyle="1" w:styleId="EndnoteTextChar">
    <w:name w:val="Endnote Text Char"/>
    <w:basedOn w:val="DefaultParagraphFont"/>
    <w:link w:val="EndnoteText"/>
    <w:uiPriority w:val="99"/>
    <w:rsid w:val="003F3E39"/>
    <w:rPr>
      <w:rFonts w:ascii="Times New Roman" w:eastAsiaTheme="minorEastAsia" w:hAnsi="Times New Roman" w:cs="Times New Roman"/>
    </w:rPr>
  </w:style>
  <w:style w:type="paragraph" w:styleId="BalloonText">
    <w:name w:val="Balloon Text"/>
    <w:basedOn w:val="Normal"/>
    <w:link w:val="BalloonTextChar"/>
    <w:uiPriority w:val="99"/>
    <w:semiHidden/>
    <w:unhideWhenUsed/>
    <w:rsid w:val="00C944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4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22</Pages>
  <Words>19601</Words>
  <Characters>69390</Characters>
  <Application>Microsoft Office Word</Application>
  <DocSecurity>0</DocSecurity>
  <Lines>1508</Lines>
  <Paragraphs>385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Bellino, Michelle</cp:lastModifiedBy>
  <cp:revision>31</cp:revision>
  <dcterms:created xsi:type="dcterms:W3CDTF">2020-11-29T20:05:00Z</dcterms:created>
  <dcterms:modified xsi:type="dcterms:W3CDTF">2021-03-04T20:58:00Z</dcterms:modified>
</cp:coreProperties>
</file>